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E6C4" w14:textId="225CB9E8" w:rsidR="003E5212" w:rsidRPr="00B30274" w:rsidRDefault="0092049A" w:rsidP="00B30274">
      <w:pPr>
        <w:jc w:val="center"/>
      </w:pPr>
      <w:r>
        <w:rPr>
          <w:rFonts w:ascii="Arial" w:hAnsi="Arial" w:cs="Arial"/>
          <w:b/>
          <w:bCs/>
        </w:rPr>
        <w:t>Workforce Disability Equality Standard 2021</w:t>
      </w:r>
    </w:p>
    <w:p w14:paraId="425EAD44" w14:textId="77777777" w:rsidR="003E5212" w:rsidRPr="003E5212" w:rsidRDefault="003E5212" w:rsidP="003E5212">
      <w:pPr>
        <w:rPr>
          <w:rFonts w:ascii="Arial" w:eastAsia="Calibri" w:hAnsi="Arial" w:cs="Arial"/>
          <w:b/>
          <w:sz w:val="22"/>
          <w:szCs w:val="22"/>
          <w:lang w:val="en-GB"/>
        </w:rPr>
      </w:pPr>
    </w:p>
    <w:p w14:paraId="4529EF28" w14:textId="42CE537E" w:rsidR="003E5212" w:rsidRPr="003E5212" w:rsidRDefault="003E5212" w:rsidP="003E5212">
      <w:pPr>
        <w:numPr>
          <w:ilvl w:val="0"/>
          <w:numId w:val="2"/>
        </w:numPr>
        <w:spacing w:after="200" w:line="276" w:lineRule="auto"/>
        <w:contextualSpacing/>
        <w:rPr>
          <w:rFonts w:ascii="Arial" w:eastAsia="Calibri" w:hAnsi="Arial" w:cs="Arial"/>
          <w:b/>
          <w:sz w:val="22"/>
          <w:szCs w:val="22"/>
          <w:lang w:val="en-GB"/>
        </w:rPr>
      </w:pPr>
      <w:r w:rsidRPr="003E5212">
        <w:rPr>
          <w:rFonts w:ascii="Arial" w:eastAsia="Calibri" w:hAnsi="Arial" w:cs="Arial"/>
          <w:b/>
          <w:sz w:val="22"/>
          <w:szCs w:val="22"/>
          <w:lang w:val="en-GB"/>
        </w:rPr>
        <w:t>Purpose of the report</w:t>
      </w:r>
    </w:p>
    <w:p w14:paraId="74C8A91F" w14:textId="77777777" w:rsidR="003E5212" w:rsidRPr="003E5212" w:rsidRDefault="003E5212" w:rsidP="003E5212">
      <w:pPr>
        <w:rPr>
          <w:rFonts w:ascii="Arial" w:eastAsia="Calibri" w:hAnsi="Arial" w:cs="Arial"/>
          <w:sz w:val="22"/>
          <w:szCs w:val="22"/>
          <w:lang w:val="en-GB"/>
        </w:rPr>
      </w:pPr>
    </w:p>
    <w:p w14:paraId="7888D4BE" w14:textId="136C4B6D" w:rsidR="003E5212" w:rsidRPr="0092049A" w:rsidRDefault="003E5212" w:rsidP="00EE6E58">
      <w:pPr>
        <w:numPr>
          <w:ilvl w:val="1"/>
          <w:numId w:val="2"/>
        </w:numPr>
        <w:spacing w:after="200" w:line="276" w:lineRule="auto"/>
        <w:ind w:hanging="650"/>
        <w:contextualSpacing/>
        <w:jc w:val="both"/>
        <w:rPr>
          <w:rFonts w:ascii="Arial" w:eastAsia="Calibri" w:hAnsi="Arial" w:cs="Arial"/>
          <w:sz w:val="22"/>
          <w:szCs w:val="22"/>
          <w:lang w:val="en-GB"/>
        </w:rPr>
      </w:pPr>
      <w:r w:rsidRPr="003E5212">
        <w:rPr>
          <w:rFonts w:ascii="Arial" w:eastAsia="Calibri" w:hAnsi="Arial" w:cs="Arial"/>
          <w:sz w:val="22"/>
          <w:szCs w:val="22"/>
          <w:lang w:val="en-GB"/>
        </w:rPr>
        <w:t xml:space="preserve">This </w:t>
      </w:r>
      <w:r w:rsidR="00A52B55" w:rsidRPr="004F4ECE">
        <w:rPr>
          <w:rFonts w:ascii="Arial" w:eastAsia="Calibri" w:hAnsi="Arial" w:cs="Arial"/>
          <w:sz w:val="22"/>
          <w:szCs w:val="22"/>
          <w:lang w:val="en-GB"/>
        </w:rPr>
        <w:t xml:space="preserve">report provides a summary of key </w:t>
      </w:r>
      <w:r w:rsidR="00A52B55" w:rsidRPr="00A52B55">
        <w:rPr>
          <w:rFonts w:ascii="Arial" w:eastAsia="Calibri" w:hAnsi="Arial" w:cs="Arial"/>
          <w:sz w:val="22"/>
          <w:szCs w:val="22"/>
        </w:rPr>
        <w:t>data, issues and recommendations arising from the Workforce Disability Equality Standard</w:t>
      </w:r>
      <w:r w:rsidR="00844B4C">
        <w:rPr>
          <w:rFonts w:ascii="Arial" w:eastAsia="Calibri" w:hAnsi="Arial" w:cs="Arial"/>
          <w:sz w:val="22"/>
          <w:szCs w:val="22"/>
        </w:rPr>
        <w:t xml:space="preserve"> (WDES)</w:t>
      </w:r>
      <w:r w:rsidR="00A52B55" w:rsidRPr="00A52B55">
        <w:rPr>
          <w:rFonts w:ascii="Arial" w:eastAsia="Calibri" w:hAnsi="Arial" w:cs="Arial"/>
          <w:sz w:val="22"/>
          <w:szCs w:val="22"/>
        </w:rPr>
        <w:t xml:space="preserve"> report (snapshot as at 31 March 202</w:t>
      </w:r>
      <w:r w:rsidR="00EF3DB4">
        <w:rPr>
          <w:rFonts w:ascii="Arial" w:eastAsia="Calibri" w:hAnsi="Arial" w:cs="Arial"/>
          <w:sz w:val="22"/>
          <w:szCs w:val="22"/>
        </w:rPr>
        <w:t>1</w:t>
      </w:r>
      <w:r w:rsidR="00A52B55" w:rsidRPr="00A52B55">
        <w:rPr>
          <w:rFonts w:ascii="Arial" w:eastAsia="Calibri" w:hAnsi="Arial" w:cs="Arial"/>
          <w:sz w:val="22"/>
          <w:szCs w:val="22"/>
        </w:rPr>
        <w:t>)</w:t>
      </w:r>
    </w:p>
    <w:p w14:paraId="038E8EF3" w14:textId="77777777" w:rsidR="0092049A" w:rsidRPr="0092049A" w:rsidRDefault="0092049A" w:rsidP="0092049A">
      <w:pPr>
        <w:spacing w:after="200" w:line="276" w:lineRule="auto"/>
        <w:ind w:left="792"/>
        <w:contextualSpacing/>
        <w:jc w:val="both"/>
        <w:rPr>
          <w:rFonts w:ascii="Arial" w:eastAsia="Calibri" w:hAnsi="Arial" w:cs="Arial"/>
          <w:sz w:val="22"/>
          <w:szCs w:val="22"/>
          <w:lang w:val="en-GB"/>
        </w:rPr>
      </w:pPr>
    </w:p>
    <w:p w14:paraId="34566660" w14:textId="3ED16293" w:rsidR="003E5212" w:rsidRPr="003E5212" w:rsidRDefault="005B4C0F" w:rsidP="003E5212">
      <w:pPr>
        <w:numPr>
          <w:ilvl w:val="0"/>
          <w:numId w:val="2"/>
        </w:numPr>
        <w:spacing w:after="200" w:line="276" w:lineRule="auto"/>
        <w:contextualSpacing/>
        <w:rPr>
          <w:rFonts w:ascii="Arial" w:eastAsia="Calibri" w:hAnsi="Arial" w:cs="Arial"/>
          <w:b/>
          <w:sz w:val="22"/>
          <w:szCs w:val="22"/>
          <w:lang w:val="en-GB"/>
        </w:rPr>
      </w:pPr>
      <w:bookmarkStart w:id="0" w:name="_Hlk30111095"/>
      <w:r>
        <w:rPr>
          <w:rFonts w:ascii="Arial" w:eastAsia="Calibri" w:hAnsi="Arial" w:cs="Arial"/>
          <w:b/>
          <w:sz w:val="22"/>
          <w:szCs w:val="22"/>
          <w:lang w:val="en-GB"/>
        </w:rPr>
        <w:t>Background</w:t>
      </w:r>
    </w:p>
    <w:bookmarkEnd w:id="0"/>
    <w:p w14:paraId="71A23355" w14:textId="77777777" w:rsidR="003E5212" w:rsidRPr="003E5212" w:rsidRDefault="003E5212" w:rsidP="003E5212">
      <w:pPr>
        <w:rPr>
          <w:rFonts w:ascii="Arial" w:eastAsia="Calibri" w:hAnsi="Arial" w:cs="Arial"/>
          <w:b/>
          <w:sz w:val="22"/>
          <w:szCs w:val="22"/>
          <w:lang w:val="en-GB"/>
        </w:rPr>
      </w:pPr>
    </w:p>
    <w:p w14:paraId="26B78CC7" w14:textId="39076433" w:rsidR="00D810F3" w:rsidRDefault="004E6436" w:rsidP="00D810F3">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The </w:t>
      </w:r>
      <w:r w:rsidR="00B423CA">
        <w:rPr>
          <w:rFonts w:ascii="Arial" w:eastAsia="Calibri" w:hAnsi="Arial" w:cs="Arial"/>
          <w:sz w:val="22"/>
          <w:szCs w:val="22"/>
          <w:lang w:val="en-GB"/>
        </w:rPr>
        <w:t>WDES has been in place since 2018; t</w:t>
      </w:r>
      <w:r w:rsidR="004D0312">
        <w:rPr>
          <w:rFonts w:ascii="Arial" w:eastAsia="Calibri" w:hAnsi="Arial" w:cs="Arial"/>
          <w:sz w:val="22"/>
          <w:szCs w:val="22"/>
          <w:lang w:val="en-GB"/>
        </w:rPr>
        <w:t xml:space="preserve">his is the third consecutive national collection </w:t>
      </w:r>
      <w:r w:rsidR="00620BEE">
        <w:rPr>
          <w:rFonts w:ascii="Arial" w:eastAsia="Calibri" w:hAnsi="Arial" w:cs="Arial"/>
          <w:sz w:val="22"/>
          <w:szCs w:val="22"/>
          <w:lang w:val="en-GB"/>
        </w:rPr>
        <w:t>of</w:t>
      </w:r>
      <w:r w:rsidR="004D0312">
        <w:rPr>
          <w:rFonts w:ascii="Arial" w:eastAsia="Calibri" w:hAnsi="Arial" w:cs="Arial"/>
          <w:sz w:val="22"/>
          <w:szCs w:val="22"/>
          <w:lang w:val="en-GB"/>
        </w:rPr>
        <w:t xml:space="preserve"> WDES</w:t>
      </w:r>
      <w:r w:rsidR="00620BEE">
        <w:rPr>
          <w:rFonts w:ascii="Arial" w:eastAsia="Calibri" w:hAnsi="Arial" w:cs="Arial"/>
          <w:sz w:val="22"/>
          <w:szCs w:val="22"/>
          <w:lang w:val="en-GB"/>
        </w:rPr>
        <w:t xml:space="preserve"> data</w:t>
      </w:r>
      <w:r w:rsidR="00B423CA">
        <w:rPr>
          <w:rFonts w:ascii="Arial" w:eastAsia="Calibri" w:hAnsi="Arial" w:cs="Arial"/>
          <w:sz w:val="22"/>
          <w:szCs w:val="22"/>
          <w:lang w:val="en-GB"/>
        </w:rPr>
        <w:t>. T</w:t>
      </w:r>
      <w:r w:rsidR="004D0312">
        <w:rPr>
          <w:rFonts w:ascii="Arial" w:eastAsia="Calibri" w:hAnsi="Arial" w:cs="Arial"/>
          <w:sz w:val="22"/>
          <w:szCs w:val="22"/>
          <w:lang w:val="en-GB"/>
        </w:rPr>
        <w:t>he 2020 national</w:t>
      </w:r>
      <w:r w:rsidR="00B423CA">
        <w:rPr>
          <w:rFonts w:ascii="Arial" w:eastAsia="Calibri" w:hAnsi="Arial" w:cs="Arial"/>
          <w:sz w:val="22"/>
          <w:szCs w:val="22"/>
          <w:lang w:val="en-GB"/>
        </w:rPr>
        <w:t xml:space="preserve"> WDES</w:t>
      </w:r>
      <w:r w:rsidR="004D0312">
        <w:rPr>
          <w:rFonts w:ascii="Arial" w:eastAsia="Calibri" w:hAnsi="Arial" w:cs="Arial"/>
          <w:sz w:val="22"/>
          <w:szCs w:val="22"/>
          <w:lang w:val="en-GB"/>
        </w:rPr>
        <w:t xml:space="preserve"> report </w:t>
      </w:r>
      <w:r w:rsidR="00620BEE">
        <w:rPr>
          <w:rFonts w:ascii="Arial" w:eastAsia="Calibri" w:hAnsi="Arial" w:cs="Arial"/>
          <w:sz w:val="22"/>
          <w:szCs w:val="22"/>
          <w:lang w:val="en-GB"/>
        </w:rPr>
        <w:t xml:space="preserve">is not published at the time of writing and it </w:t>
      </w:r>
      <w:r w:rsidR="004D0312">
        <w:rPr>
          <w:rFonts w:ascii="Arial" w:eastAsia="Calibri" w:hAnsi="Arial" w:cs="Arial"/>
          <w:sz w:val="22"/>
          <w:szCs w:val="22"/>
          <w:lang w:val="en-GB"/>
        </w:rPr>
        <w:t>is anticipated in Autumn 202</w:t>
      </w:r>
      <w:r w:rsidR="00620BEE">
        <w:rPr>
          <w:rFonts w:ascii="Arial" w:eastAsia="Calibri" w:hAnsi="Arial" w:cs="Arial"/>
          <w:sz w:val="22"/>
          <w:szCs w:val="22"/>
          <w:lang w:val="en-GB"/>
        </w:rPr>
        <w:t>1.</w:t>
      </w:r>
    </w:p>
    <w:p w14:paraId="011A0BF8" w14:textId="77777777" w:rsidR="00D810F3" w:rsidRDefault="00D810F3" w:rsidP="00D810F3">
      <w:pPr>
        <w:spacing w:after="200" w:line="276" w:lineRule="auto"/>
        <w:ind w:left="792"/>
        <w:contextualSpacing/>
        <w:jc w:val="both"/>
        <w:rPr>
          <w:rFonts w:ascii="Arial" w:eastAsia="Calibri" w:hAnsi="Arial" w:cs="Arial"/>
          <w:sz w:val="22"/>
          <w:szCs w:val="22"/>
          <w:lang w:val="en-GB"/>
        </w:rPr>
      </w:pPr>
    </w:p>
    <w:p w14:paraId="032D0AAD" w14:textId="7423DE5F" w:rsidR="00686590" w:rsidRDefault="004D0312" w:rsidP="00BD28E6">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The window for data collection templates for the reporting period (data up to 31 March 2021) is 1 July 2021 to 30 August 2021. </w:t>
      </w:r>
      <w:r w:rsidR="00844B4C" w:rsidRPr="00556EC9">
        <w:rPr>
          <w:rFonts w:ascii="Arial" w:eastAsia="Calibri" w:hAnsi="Arial" w:cs="Arial"/>
          <w:sz w:val="22"/>
          <w:szCs w:val="22"/>
          <w:lang w:val="en-GB"/>
        </w:rPr>
        <w:t>WDES data upload</w:t>
      </w:r>
      <w:r w:rsidR="00556EC9">
        <w:rPr>
          <w:rFonts w:ascii="Arial" w:eastAsia="Calibri" w:hAnsi="Arial" w:cs="Arial"/>
          <w:sz w:val="22"/>
          <w:szCs w:val="22"/>
          <w:lang w:val="en-GB"/>
        </w:rPr>
        <w:t>s</w:t>
      </w:r>
      <w:r w:rsidR="00CA06D9">
        <w:rPr>
          <w:rFonts w:ascii="Arial" w:eastAsia="Calibri" w:hAnsi="Arial" w:cs="Arial"/>
          <w:sz w:val="22"/>
          <w:szCs w:val="22"/>
          <w:lang w:val="en-GB"/>
        </w:rPr>
        <w:t xml:space="preserve"> are supplemented by a narrative return </w:t>
      </w:r>
      <w:r w:rsidR="00106F8C">
        <w:rPr>
          <w:rFonts w:ascii="Arial" w:eastAsia="Calibri" w:hAnsi="Arial" w:cs="Arial"/>
          <w:sz w:val="22"/>
          <w:szCs w:val="22"/>
          <w:lang w:val="en-GB"/>
        </w:rPr>
        <w:t>which is derived from</w:t>
      </w:r>
      <w:r w:rsidR="00B423CA">
        <w:rPr>
          <w:rFonts w:ascii="Arial" w:eastAsia="Calibri" w:hAnsi="Arial" w:cs="Arial"/>
          <w:sz w:val="22"/>
          <w:szCs w:val="22"/>
          <w:lang w:val="en-GB"/>
        </w:rPr>
        <w:t xml:space="preserve"> the content of</w:t>
      </w:r>
      <w:r w:rsidR="00106F8C">
        <w:rPr>
          <w:rFonts w:ascii="Arial" w:eastAsia="Calibri" w:hAnsi="Arial" w:cs="Arial"/>
          <w:sz w:val="22"/>
          <w:szCs w:val="22"/>
          <w:lang w:val="en-GB"/>
        </w:rPr>
        <w:t xml:space="preserve"> this report.</w:t>
      </w:r>
    </w:p>
    <w:p w14:paraId="58669ABD" w14:textId="77777777" w:rsidR="00021A70" w:rsidRPr="00021A70" w:rsidRDefault="00021A70" w:rsidP="00021A70">
      <w:pPr>
        <w:spacing w:after="200" w:line="276" w:lineRule="auto"/>
        <w:ind w:left="792"/>
        <w:contextualSpacing/>
        <w:jc w:val="both"/>
        <w:rPr>
          <w:rFonts w:ascii="Arial" w:eastAsia="Calibri" w:hAnsi="Arial" w:cs="Arial"/>
          <w:sz w:val="22"/>
          <w:szCs w:val="22"/>
          <w:lang w:val="en-GB"/>
        </w:rPr>
      </w:pPr>
    </w:p>
    <w:p w14:paraId="1F16CB0A" w14:textId="32DA5275" w:rsidR="00021A70" w:rsidRPr="00556EC9" w:rsidRDefault="00021A70" w:rsidP="00BD28E6">
      <w:pPr>
        <w:numPr>
          <w:ilvl w:val="1"/>
          <w:numId w:val="2"/>
        </w:numPr>
        <w:spacing w:after="200" w:line="276" w:lineRule="auto"/>
        <w:ind w:hanging="650"/>
        <w:contextualSpacing/>
        <w:jc w:val="both"/>
        <w:rPr>
          <w:rFonts w:ascii="Arial" w:eastAsia="Calibri" w:hAnsi="Arial" w:cs="Arial"/>
          <w:sz w:val="22"/>
          <w:szCs w:val="22"/>
          <w:lang w:val="en-GB"/>
        </w:rPr>
      </w:pPr>
      <w:r w:rsidRPr="00021A70">
        <w:rPr>
          <w:rFonts w:ascii="Arial" w:eastAsia="Calibri" w:hAnsi="Arial" w:cs="Arial"/>
          <w:sz w:val="22"/>
          <w:szCs w:val="22"/>
        </w:rPr>
        <w:t xml:space="preserve">NHS England </w:t>
      </w:r>
      <w:r>
        <w:rPr>
          <w:rFonts w:ascii="Arial" w:eastAsia="Calibri" w:hAnsi="Arial" w:cs="Arial"/>
          <w:sz w:val="22"/>
          <w:szCs w:val="22"/>
        </w:rPr>
        <w:t>requires that</w:t>
      </w:r>
      <w:r w:rsidRPr="00021A70">
        <w:rPr>
          <w:rFonts w:ascii="Arial" w:eastAsia="Calibri" w:hAnsi="Arial" w:cs="Arial"/>
          <w:sz w:val="22"/>
          <w:szCs w:val="22"/>
        </w:rPr>
        <w:t xml:space="preserve"> WDES action plans </w:t>
      </w:r>
      <w:r>
        <w:rPr>
          <w:rFonts w:ascii="Arial" w:eastAsia="Calibri" w:hAnsi="Arial" w:cs="Arial"/>
          <w:sz w:val="22"/>
          <w:szCs w:val="22"/>
        </w:rPr>
        <w:t>are</w:t>
      </w:r>
      <w:r w:rsidRPr="00021A70">
        <w:rPr>
          <w:rFonts w:ascii="Arial" w:eastAsia="Calibri" w:hAnsi="Arial" w:cs="Arial"/>
          <w:sz w:val="22"/>
          <w:szCs w:val="22"/>
        </w:rPr>
        <w:t xml:space="preserve"> ratified by the Trust Board and </w:t>
      </w:r>
      <w:r w:rsidR="004618C8">
        <w:rPr>
          <w:rFonts w:ascii="Arial" w:eastAsia="Calibri" w:hAnsi="Arial" w:cs="Arial"/>
          <w:sz w:val="22"/>
          <w:szCs w:val="22"/>
        </w:rPr>
        <w:t>are</w:t>
      </w:r>
      <w:r w:rsidRPr="00021A70">
        <w:rPr>
          <w:rFonts w:ascii="Arial" w:eastAsia="Calibri" w:hAnsi="Arial" w:cs="Arial"/>
          <w:sz w:val="22"/>
          <w:szCs w:val="22"/>
        </w:rPr>
        <w:t xml:space="preserve"> published by 30 October 202</w:t>
      </w:r>
      <w:r w:rsidR="007551D4">
        <w:rPr>
          <w:rFonts w:ascii="Arial" w:eastAsia="Calibri" w:hAnsi="Arial" w:cs="Arial"/>
          <w:sz w:val="22"/>
          <w:szCs w:val="22"/>
        </w:rPr>
        <w:t>1</w:t>
      </w:r>
      <w:r w:rsidRPr="00021A70">
        <w:rPr>
          <w:rFonts w:ascii="Arial" w:eastAsia="Calibri" w:hAnsi="Arial" w:cs="Arial"/>
          <w:sz w:val="22"/>
          <w:szCs w:val="22"/>
        </w:rPr>
        <w:t>.</w:t>
      </w:r>
    </w:p>
    <w:p w14:paraId="61494C3D" w14:textId="77777777" w:rsidR="004A6D89" w:rsidRDefault="004A6D89" w:rsidP="00B4345C">
      <w:pPr>
        <w:spacing w:after="200" w:line="276" w:lineRule="auto"/>
        <w:contextualSpacing/>
        <w:rPr>
          <w:rFonts w:ascii="Arial" w:eastAsia="Calibri" w:hAnsi="Arial" w:cs="Arial"/>
          <w:b/>
          <w:sz w:val="22"/>
          <w:szCs w:val="22"/>
          <w:lang w:val="en-GB"/>
        </w:rPr>
      </w:pPr>
    </w:p>
    <w:p w14:paraId="64AE385F" w14:textId="43B9061A" w:rsidR="003E5212" w:rsidRPr="003E5212" w:rsidRDefault="00A52B55" w:rsidP="003E5212">
      <w:pPr>
        <w:numPr>
          <w:ilvl w:val="0"/>
          <w:numId w:val="2"/>
        </w:numPr>
        <w:spacing w:after="200" w:line="276" w:lineRule="auto"/>
        <w:contextualSpacing/>
        <w:rPr>
          <w:rFonts w:ascii="Arial" w:eastAsia="Calibri" w:hAnsi="Arial" w:cs="Arial"/>
          <w:b/>
          <w:sz w:val="22"/>
          <w:szCs w:val="22"/>
          <w:lang w:val="en-GB"/>
        </w:rPr>
      </w:pPr>
      <w:r>
        <w:rPr>
          <w:rFonts w:ascii="Arial" w:eastAsia="Calibri" w:hAnsi="Arial" w:cs="Arial"/>
          <w:b/>
          <w:sz w:val="22"/>
          <w:szCs w:val="22"/>
          <w:lang w:val="en-GB"/>
        </w:rPr>
        <w:t>Data quality</w:t>
      </w:r>
      <w:r w:rsidR="00B4568C">
        <w:rPr>
          <w:rFonts w:ascii="Arial" w:eastAsia="Calibri" w:hAnsi="Arial" w:cs="Arial"/>
          <w:b/>
          <w:sz w:val="22"/>
          <w:szCs w:val="22"/>
          <w:lang w:val="en-GB"/>
        </w:rPr>
        <w:t xml:space="preserve"> and outline numbers</w:t>
      </w:r>
    </w:p>
    <w:p w14:paraId="0AB57C37" w14:textId="02F10455" w:rsidR="003E5212" w:rsidRDefault="003E5212" w:rsidP="003E5212">
      <w:pPr>
        <w:spacing w:after="200" w:line="276" w:lineRule="auto"/>
        <w:ind w:left="792"/>
        <w:contextualSpacing/>
        <w:jc w:val="both"/>
        <w:rPr>
          <w:rFonts w:ascii="Arial" w:eastAsia="Calibri" w:hAnsi="Arial" w:cs="Arial"/>
          <w:sz w:val="22"/>
          <w:szCs w:val="22"/>
          <w:lang w:val="en-GB"/>
        </w:rPr>
      </w:pPr>
    </w:p>
    <w:p w14:paraId="733FE720" w14:textId="11E1062A" w:rsidR="00FF1FD2" w:rsidRDefault="00BD6288" w:rsidP="00BD628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Data for the Trust’s </w:t>
      </w:r>
      <w:r w:rsidR="004363F1">
        <w:rPr>
          <w:rFonts w:ascii="Arial" w:eastAsia="Calibri" w:hAnsi="Arial" w:cs="Arial"/>
          <w:sz w:val="22"/>
          <w:szCs w:val="22"/>
          <w:lang w:val="en-GB"/>
        </w:rPr>
        <w:t xml:space="preserve">data return </w:t>
      </w:r>
      <w:r>
        <w:rPr>
          <w:rFonts w:ascii="Arial" w:eastAsia="Calibri" w:hAnsi="Arial" w:cs="Arial"/>
          <w:sz w:val="22"/>
          <w:szCs w:val="22"/>
          <w:lang w:val="en-GB"/>
        </w:rPr>
        <w:t>is derived from a co</w:t>
      </w:r>
      <w:r w:rsidR="004363F1">
        <w:rPr>
          <w:rFonts w:ascii="Arial" w:eastAsia="Calibri" w:hAnsi="Arial" w:cs="Arial"/>
          <w:sz w:val="22"/>
          <w:szCs w:val="22"/>
          <w:lang w:val="en-GB"/>
        </w:rPr>
        <w:t>mbination of sources; Electronic Staff Record</w:t>
      </w:r>
      <w:r w:rsidR="0067304E">
        <w:rPr>
          <w:rFonts w:ascii="Arial" w:eastAsia="Calibri" w:hAnsi="Arial" w:cs="Arial"/>
          <w:sz w:val="22"/>
          <w:szCs w:val="22"/>
          <w:lang w:val="en-GB"/>
        </w:rPr>
        <w:t xml:space="preserve">, TRAC (recruitment), </w:t>
      </w:r>
      <w:r w:rsidR="00E753DD">
        <w:rPr>
          <w:rFonts w:ascii="Arial" w:eastAsia="Calibri" w:hAnsi="Arial" w:cs="Arial"/>
          <w:sz w:val="22"/>
          <w:szCs w:val="22"/>
          <w:lang w:val="en-GB"/>
        </w:rPr>
        <w:t>Selenity (Employee Relations) and the NHS Staff Survey 2020.</w:t>
      </w:r>
    </w:p>
    <w:p w14:paraId="388B01F4" w14:textId="77777777" w:rsidR="00CA605C" w:rsidRDefault="00CA605C" w:rsidP="00CA605C">
      <w:pPr>
        <w:spacing w:after="200" w:line="276" w:lineRule="auto"/>
        <w:ind w:left="792"/>
        <w:contextualSpacing/>
        <w:jc w:val="both"/>
        <w:rPr>
          <w:rFonts w:ascii="Arial" w:eastAsia="Calibri" w:hAnsi="Arial" w:cs="Arial"/>
          <w:sz w:val="22"/>
          <w:szCs w:val="22"/>
          <w:lang w:val="en-GB"/>
        </w:rPr>
      </w:pPr>
    </w:p>
    <w:p w14:paraId="1ECD645B" w14:textId="07252F0F" w:rsidR="003B6A4A" w:rsidRDefault="003B6A4A" w:rsidP="00BD628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Following recruitment, data files </w:t>
      </w:r>
      <w:r w:rsidR="008229FD">
        <w:rPr>
          <w:rFonts w:ascii="Arial" w:eastAsia="Calibri" w:hAnsi="Arial" w:cs="Arial"/>
          <w:sz w:val="22"/>
          <w:szCs w:val="22"/>
          <w:lang w:val="en-GB"/>
        </w:rPr>
        <w:t>transfer from TRAC</w:t>
      </w:r>
      <w:r>
        <w:rPr>
          <w:rFonts w:ascii="Arial" w:eastAsia="Calibri" w:hAnsi="Arial" w:cs="Arial"/>
          <w:sz w:val="22"/>
          <w:szCs w:val="22"/>
          <w:lang w:val="en-GB"/>
        </w:rPr>
        <w:t xml:space="preserve"> to ESR </w:t>
      </w:r>
      <w:r w:rsidR="00D90090">
        <w:rPr>
          <w:rFonts w:ascii="Arial" w:eastAsia="Calibri" w:hAnsi="Arial" w:cs="Arial"/>
          <w:sz w:val="22"/>
          <w:szCs w:val="22"/>
          <w:lang w:val="en-GB"/>
        </w:rPr>
        <w:t>upon</w:t>
      </w:r>
      <w:r w:rsidR="00D87670">
        <w:rPr>
          <w:rFonts w:ascii="Arial" w:eastAsia="Calibri" w:hAnsi="Arial" w:cs="Arial"/>
          <w:sz w:val="22"/>
          <w:szCs w:val="22"/>
          <w:lang w:val="en-GB"/>
        </w:rPr>
        <w:t xml:space="preserve"> an applicant’s</w:t>
      </w:r>
      <w:r w:rsidR="00D90090">
        <w:rPr>
          <w:rFonts w:ascii="Arial" w:eastAsia="Calibri" w:hAnsi="Arial" w:cs="Arial"/>
          <w:sz w:val="22"/>
          <w:szCs w:val="22"/>
          <w:lang w:val="en-GB"/>
        </w:rPr>
        <w:t xml:space="preserve"> appointment.</w:t>
      </w:r>
    </w:p>
    <w:p w14:paraId="169B40C1" w14:textId="77777777" w:rsidR="00CA605C" w:rsidRDefault="00CA605C" w:rsidP="00CA605C">
      <w:pPr>
        <w:spacing w:after="200" w:line="276" w:lineRule="auto"/>
        <w:ind w:left="792"/>
        <w:contextualSpacing/>
        <w:jc w:val="both"/>
        <w:rPr>
          <w:rFonts w:ascii="Arial" w:eastAsia="Calibri" w:hAnsi="Arial" w:cs="Arial"/>
          <w:sz w:val="22"/>
          <w:szCs w:val="22"/>
          <w:lang w:val="en-GB"/>
        </w:rPr>
      </w:pPr>
    </w:p>
    <w:p w14:paraId="575CFEAB" w14:textId="47D6CDA0" w:rsidR="005053E5" w:rsidRDefault="004B5D4B" w:rsidP="00BD628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All colleagues have access </w:t>
      </w:r>
      <w:r w:rsidR="00DD238F">
        <w:rPr>
          <w:rFonts w:ascii="Arial" w:eastAsia="Calibri" w:hAnsi="Arial" w:cs="Arial"/>
          <w:sz w:val="22"/>
          <w:szCs w:val="22"/>
          <w:lang w:val="en-GB"/>
        </w:rPr>
        <w:t>to the ESR self-service portal which allows them to review and update their personal information</w:t>
      </w:r>
      <w:r w:rsidR="00D87670">
        <w:rPr>
          <w:rFonts w:ascii="Arial" w:eastAsia="Calibri" w:hAnsi="Arial" w:cs="Arial"/>
          <w:sz w:val="22"/>
          <w:szCs w:val="22"/>
          <w:lang w:val="en-GB"/>
        </w:rPr>
        <w:t xml:space="preserve"> at regular intervals. This is supported by user manuals and support from the HR Services team.</w:t>
      </w:r>
    </w:p>
    <w:p w14:paraId="4609E9A1" w14:textId="77777777" w:rsidR="00CA605C" w:rsidRDefault="00CA605C" w:rsidP="00CA605C">
      <w:pPr>
        <w:spacing w:after="200" w:line="276" w:lineRule="auto"/>
        <w:ind w:left="792"/>
        <w:contextualSpacing/>
        <w:jc w:val="both"/>
        <w:rPr>
          <w:rFonts w:ascii="Arial" w:eastAsia="Calibri" w:hAnsi="Arial" w:cs="Arial"/>
          <w:sz w:val="22"/>
          <w:szCs w:val="22"/>
          <w:lang w:val="en-GB"/>
        </w:rPr>
      </w:pPr>
    </w:p>
    <w:p w14:paraId="70DEA433" w14:textId="5D7BDB5B" w:rsidR="005053E5" w:rsidRDefault="00CA759B" w:rsidP="00BD628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As at 31 March 2021, 15.11% of colleagues </w:t>
      </w:r>
      <w:r w:rsidR="00011B92">
        <w:rPr>
          <w:rFonts w:ascii="Arial" w:eastAsia="Calibri" w:hAnsi="Arial" w:cs="Arial"/>
          <w:sz w:val="22"/>
          <w:szCs w:val="22"/>
          <w:lang w:val="en-GB"/>
        </w:rPr>
        <w:t xml:space="preserve">(573 headcount) had chosen not to disclose their </w:t>
      </w:r>
      <w:r w:rsidR="00822E06">
        <w:rPr>
          <w:rFonts w:ascii="Arial" w:eastAsia="Calibri" w:hAnsi="Arial" w:cs="Arial"/>
          <w:sz w:val="22"/>
          <w:szCs w:val="22"/>
          <w:lang w:val="en-GB"/>
        </w:rPr>
        <w:t>disability status.</w:t>
      </w:r>
      <w:r w:rsidR="00142137">
        <w:rPr>
          <w:rFonts w:ascii="Arial" w:eastAsia="Calibri" w:hAnsi="Arial" w:cs="Arial"/>
          <w:sz w:val="22"/>
          <w:szCs w:val="22"/>
          <w:lang w:val="en-GB"/>
        </w:rPr>
        <w:t xml:space="preserve"> Further work is required to close this gap</w:t>
      </w:r>
      <w:r w:rsidR="00DB4848">
        <w:rPr>
          <w:rFonts w:ascii="Arial" w:eastAsia="Calibri" w:hAnsi="Arial" w:cs="Arial"/>
          <w:sz w:val="22"/>
          <w:szCs w:val="22"/>
          <w:lang w:val="en-GB"/>
        </w:rPr>
        <w:t xml:space="preserve"> as it has remained relatively static since 2018</w:t>
      </w:r>
      <w:r w:rsidR="00377E77">
        <w:rPr>
          <w:rFonts w:ascii="Arial" w:eastAsia="Calibri" w:hAnsi="Arial" w:cs="Arial"/>
          <w:sz w:val="22"/>
          <w:szCs w:val="22"/>
          <w:lang w:val="en-GB"/>
        </w:rPr>
        <w:t>/19.</w:t>
      </w:r>
    </w:p>
    <w:p w14:paraId="53FC51F5" w14:textId="2E358C88" w:rsidR="00E753DD" w:rsidRPr="003E5212" w:rsidRDefault="003B6A4A" w:rsidP="005053E5">
      <w:pPr>
        <w:spacing w:after="200" w:line="276" w:lineRule="auto"/>
        <w:ind w:left="792"/>
        <w:contextualSpacing/>
        <w:jc w:val="both"/>
        <w:rPr>
          <w:rFonts w:ascii="Arial" w:eastAsia="Calibri" w:hAnsi="Arial" w:cs="Arial"/>
          <w:sz w:val="22"/>
          <w:szCs w:val="22"/>
          <w:lang w:val="en-GB"/>
        </w:rPr>
      </w:pPr>
      <w:r>
        <w:rPr>
          <w:rFonts w:ascii="Arial" w:eastAsia="Calibri" w:hAnsi="Arial" w:cs="Arial"/>
          <w:sz w:val="22"/>
          <w:szCs w:val="22"/>
          <w:lang w:val="en-GB"/>
        </w:rPr>
        <w:t xml:space="preserve"> </w:t>
      </w:r>
    </w:p>
    <w:p w14:paraId="7B60FF16" w14:textId="386BCD0D" w:rsidR="000C1393" w:rsidRPr="006A64D9" w:rsidRDefault="00C97B3D" w:rsidP="007841E7">
      <w:pPr>
        <w:numPr>
          <w:ilvl w:val="0"/>
          <w:numId w:val="2"/>
        </w:numPr>
        <w:spacing w:after="200" w:line="276" w:lineRule="auto"/>
        <w:contextualSpacing/>
        <w:jc w:val="both"/>
        <w:rPr>
          <w:rFonts w:ascii="Arial" w:eastAsia="Calibri" w:hAnsi="Arial" w:cs="Arial"/>
          <w:sz w:val="22"/>
          <w:szCs w:val="22"/>
          <w:lang w:val="en-GB"/>
        </w:rPr>
      </w:pPr>
      <w:r>
        <w:rPr>
          <w:rFonts w:ascii="Arial" w:eastAsia="Calibri" w:hAnsi="Arial" w:cs="Arial"/>
          <w:b/>
          <w:bCs/>
          <w:sz w:val="22"/>
          <w:szCs w:val="22"/>
          <w:lang w:val="en-GB"/>
        </w:rPr>
        <w:t>Recruitment</w:t>
      </w:r>
    </w:p>
    <w:p w14:paraId="296F670E" w14:textId="77777777" w:rsidR="006A64D9" w:rsidRDefault="006A64D9" w:rsidP="006A64D9">
      <w:pPr>
        <w:spacing w:after="200" w:line="276" w:lineRule="auto"/>
        <w:ind w:left="792"/>
        <w:contextualSpacing/>
        <w:jc w:val="both"/>
        <w:rPr>
          <w:rFonts w:ascii="Arial" w:eastAsia="Calibri" w:hAnsi="Arial" w:cs="Arial"/>
          <w:sz w:val="22"/>
          <w:szCs w:val="22"/>
          <w:lang w:val="en-GB"/>
        </w:rPr>
      </w:pPr>
    </w:p>
    <w:p w14:paraId="5CDFD5F8" w14:textId="1599A244" w:rsidR="00997E34" w:rsidRDefault="005151DE" w:rsidP="00B30274">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A figure below 1.00 indicates that </w:t>
      </w:r>
      <w:r w:rsidR="007A58A1">
        <w:rPr>
          <w:rFonts w:ascii="Arial" w:eastAsia="Calibri" w:hAnsi="Arial" w:cs="Arial"/>
          <w:sz w:val="22"/>
          <w:szCs w:val="22"/>
          <w:lang w:val="en-GB"/>
        </w:rPr>
        <w:t>Disabled staff are more likely th</w:t>
      </w:r>
      <w:r w:rsidR="00902380">
        <w:rPr>
          <w:rFonts w:ascii="Arial" w:eastAsia="Calibri" w:hAnsi="Arial" w:cs="Arial"/>
          <w:sz w:val="22"/>
          <w:szCs w:val="22"/>
          <w:lang w:val="en-GB"/>
        </w:rPr>
        <w:t>an</w:t>
      </w:r>
      <w:r w:rsidR="007A58A1">
        <w:rPr>
          <w:rFonts w:ascii="Arial" w:eastAsia="Calibri" w:hAnsi="Arial" w:cs="Arial"/>
          <w:sz w:val="22"/>
          <w:szCs w:val="22"/>
          <w:lang w:val="en-GB"/>
        </w:rPr>
        <w:t xml:space="preserve"> non-disabled staff to be appointed from shortlisting. </w:t>
      </w:r>
      <w:r w:rsidR="00DE0C90">
        <w:rPr>
          <w:rFonts w:ascii="Arial" w:eastAsia="Calibri" w:hAnsi="Arial" w:cs="Arial"/>
          <w:sz w:val="22"/>
          <w:szCs w:val="22"/>
          <w:lang w:val="en-GB"/>
        </w:rPr>
        <w:t xml:space="preserve">The Trust </w:t>
      </w:r>
      <w:r w:rsidR="007B7558">
        <w:rPr>
          <w:rFonts w:ascii="Arial" w:eastAsia="Calibri" w:hAnsi="Arial" w:cs="Arial"/>
          <w:sz w:val="22"/>
          <w:szCs w:val="22"/>
          <w:lang w:val="en-GB"/>
        </w:rPr>
        <w:t xml:space="preserve">has improved in </w:t>
      </w:r>
      <w:r w:rsidR="007A58A1">
        <w:rPr>
          <w:rFonts w:ascii="Arial" w:eastAsia="Calibri" w:hAnsi="Arial" w:cs="Arial"/>
          <w:sz w:val="22"/>
          <w:szCs w:val="22"/>
          <w:lang w:val="en-GB"/>
        </w:rPr>
        <w:t>this regard since 202</w:t>
      </w:r>
      <w:r w:rsidR="005B5769">
        <w:rPr>
          <w:rFonts w:ascii="Arial" w:eastAsia="Calibri" w:hAnsi="Arial" w:cs="Arial"/>
          <w:sz w:val="22"/>
          <w:szCs w:val="22"/>
          <w:lang w:val="en-GB"/>
        </w:rPr>
        <w:t>0 – in 2020 this figure was 1.25 and it is no</w:t>
      </w:r>
      <w:r w:rsidR="00D97285">
        <w:rPr>
          <w:rFonts w:ascii="Arial" w:eastAsia="Calibri" w:hAnsi="Arial" w:cs="Arial"/>
          <w:sz w:val="22"/>
          <w:szCs w:val="22"/>
          <w:lang w:val="en-GB"/>
        </w:rPr>
        <w:t>w</w:t>
      </w:r>
      <w:r w:rsidR="005B5769">
        <w:rPr>
          <w:rFonts w:ascii="Arial" w:eastAsia="Calibri" w:hAnsi="Arial" w:cs="Arial"/>
          <w:sz w:val="22"/>
          <w:szCs w:val="22"/>
          <w:lang w:val="en-GB"/>
        </w:rPr>
        <w:t xml:space="preserve"> 0</w:t>
      </w:r>
      <w:r w:rsidR="00D97285">
        <w:rPr>
          <w:rFonts w:ascii="Arial" w:eastAsia="Calibri" w:hAnsi="Arial" w:cs="Arial"/>
          <w:sz w:val="22"/>
          <w:szCs w:val="22"/>
          <w:lang w:val="en-GB"/>
        </w:rPr>
        <w:t>.92.</w:t>
      </w:r>
    </w:p>
    <w:p w14:paraId="5D2F9CCD" w14:textId="77777777" w:rsidR="00D97285" w:rsidRDefault="00D97285" w:rsidP="00D97285">
      <w:pPr>
        <w:spacing w:after="200" w:line="276" w:lineRule="auto"/>
        <w:ind w:left="792"/>
        <w:contextualSpacing/>
        <w:jc w:val="both"/>
        <w:rPr>
          <w:rFonts w:ascii="Arial" w:eastAsia="Calibri" w:hAnsi="Arial" w:cs="Arial"/>
          <w:sz w:val="22"/>
          <w:szCs w:val="22"/>
          <w:lang w:val="en-GB"/>
        </w:rPr>
      </w:pPr>
    </w:p>
    <w:p w14:paraId="0C0C3277" w14:textId="77777777" w:rsidR="00747E16" w:rsidRPr="006C7AE8" w:rsidRDefault="00747E16" w:rsidP="00747E16">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lastRenderedPageBreak/>
        <w:t>A number of actions have supported this improvement in year; unconscious bias training has been added to MK Manager’s Way, Recruitment and Equality Diversity and Inclusion training. Diverse interview panels have been recommended by the Workforce t</w:t>
      </w:r>
      <w:r w:rsidRPr="006C7AE8">
        <w:rPr>
          <w:rFonts w:ascii="Arial" w:eastAsia="Calibri" w:hAnsi="Arial" w:cs="Arial"/>
          <w:sz w:val="22"/>
          <w:szCs w:val="22"/>
          <w:lang w:val="en-GB"/>
        </w:rPr>
        <w:t>eams to increase awareness of particular issues.</w:t>
      </w:r>
    </w:p>
    <w:p w14:paraId="60D5CB47" w14:textId="541EBA14" w:rsidR="008F499F" w:rsidRDefault="00C265F1" w:rsidP="00E46785">
      <w:pPr>
        <w:numPr>
          <w:ilvl w:val="1"/>
          <w:numId w:val="2"/>
        </w:numPr>
        <w:spacing w:after="200" w:line="276" w:lineRule="auto"/>
        <w:ind w:hanging="650"/>
        <w:contextualSpacing/>
        <w:jc w:val="both"/>
        <w:rPr>
          <w:rFonts w:ascii="Arial" w:eastAsia="Calibri" w:hAnsi="Arial" w:cs="Arial"/>
          <w:sz w:val="22"/>
          <w:szCs w:val="22"/>
          <w:lang w:val="en-GB"/>
        </w:rPr>
      </w:pPr>
      <w:r w:rsidRPr="00242E96">
        <w:rPr>
          <w:rFonts w:ascii="Arial" w:eastAsia="Calibri" w:hAnsi="Arial" w:cs="Arial"/>
          <w:sz w:val="22"/>
          <w:szCs w:val="22"/>
          <w:lang w:val="en-GB"/>
        </w:rPr>
        <w:t xml:space="preserve">The Trust operates </w:t>
      </w:r>
      <w:r w:rsidR="00266A17">
        <w:rPr>
          <w:rFonts w:ascii="Arial" w:eastAsia="Calibri" w:hAnsi="Arial" w:cs="Arial"/>
          <w:sz w:val="22"/>
          <w:szCs w:val="22"/>
          <w:lang w:val="en-GB"/>
        </w:rPr>
        <w:t>what was previously known as a</w:t>
      </w:r>
      <w:r w:rsidRPr="00242E96">
        <w:rPr>
          <w:rFonts w:ascii="Arial" w:eastAsia="Calibri" w:hAnsi="Arial" w:cs="Arial"/>
          <w:sz w:val="22"/>
          <w:szCs w:val="22"/>
          <w:lang w:val="en-GB"/>
        </w:rPr>
        <w:t xml:space="preserve"> </w:t>
      </w:r>
      <w:r w:rsidR="006071F4" w:rsidRPr="00242E96">
        <w:rPr>
          <w:rFonts w:ascii="Arial" w:eastAsia="Calibri" w:hAnsi="Arial" w:cs="Arial"/>
          <w:sz w:val="22"/>
          <w:szCs w:val="22"/>
          <w:lang w:val="en-GB"/>
        </w:rPr>
        <w:t>Guaranteed Interview Scheme in line with its Recruitment and Selection Policy</w:t>
      </w:r>
      <w:r w:rsidR="000A3171">
        <w:rPr>
          <w:rFonts w:ascii="Arial" w:eastAsia="Calibri" w:hAnsi="Arial" w:cs="Arial"/>
          <w:sz w:val="22"/>
          <w:szCs w:val="22"/>
          <w:lang w:val="en-GB"/>
        </w:rPr>
        <w:t xml:space="preserve"> and under its </w:t>
      </w:r>
      <w:bookmarkStart w:id="1" w:name="_Hlk77088096"/>
      <w:r w:rsidR="00C84955" w:rsidRPr="00242E96">
        <w:rPr>
          <w:rFonts w:ascii="Arial" w:eastAsia="Calibri" w:hAnsi="Arial" w:cs="Arial"/>
          <w:sz w:val="22"/>
          <w:szCs w:val="22"/>
          <w:lang w:val="en-GB"/>
        </w:rPr>
        <w:t>Disability Confident accreditation at Level 2 (Employer)</w:t>
      </w:r>
      <w:r w:rsidR="001E3E36" w:rsidRPr="00242E96">
        <w:rPr>
          <w:rFonts w:ascii="Arial" w:eastAsia="Calibri" w:hAnsi="Arial" w:cs="Arial"/>
          <w:sz w:val="22"/>
          <w:szCs w:val="22"/>
          <w:lang w:val="en-GB"/>
        </w:rPr>
        <w:t xml:space="preserve"> status. Level 3 (Leader) is the aspiration for all </w:t>
      </w:r>
      <w:r w:rsidR="000A3171">
        <w:rPr>
          <w:rFonts w:ascii="Arial" w:eastAsia="Calibri" w:hAnsi="Arial" w:cs="Arial"/>
          <w:sz w:val="22"/>
          <w:szCs w:val="22"/>
          <w:lang w:val="en-GB"/>
        </w:rPr>
        <w:t>NHS</w:t>
      </w:r>
      <w:r w:rsidR="00747E16">
        <w:rPr>
          <w:rFonts w:ascii="Arial" w:eastAsia="Calibri" w:hAnsi="Arial" w:cs="Arial"/>
          <w:sz w:val="22"/>
          <w:szCs w:val="22"/>
          <w:lang w:val="en-GB"/>
        </w:rPr>
        <w:t xml:space="preserve"> </w:t>
      </w:r>
      <w:r w:rsidR="001E3E36" w:rsidRPr="00242E96">
        <w:rPr>
          <w:rFonts w:ascii="Arial" w:eastAsia="Calibri" w:hAnsi="Arial" w:cs="Arial"/>
          <w:sz w:val="22"/>
          <w:szCs w:val="22"/>
          <w:lang w:val="en-GB"/>
        </w:rPr>
        <w:t xml:space="preserve">Trusts and a further self-assessment toolkit will be completed in collaboration with the </w:t>
      </w:r>
      <w:r w:rsidR="007A6494" w:rsidRPr="00242E96">
        <w:rPr>
          <w:rFonts w:ascii="Arial" w:eastAsia="Calibri" w:hAnsi="Arial" w:cs="Arial"/>
          <w:sz w:val="22"/>
          <w:szCs w:val="22"/>
          <w:lang w:val="en-GB"/>
        </w:rPr>
        <w:t xml:space="preserve">Staff Ability </w:t>
      </w:r>
      <w:r w:rsidR="001E3E36" w:rsidRPr="00242E96">
        <w:rPr>
          <w:rFonts w:ascii="Arial" w:eastAsia="Calibri" w:hAnsi="Arial" w:cs="Arial"/>
          <w:sz w:val="22"/>
          <w:szCs w:val="22"/>
          <w:lang w:val="en-GB"/>
        </w:rPr>
        <w:t xml:space="preserve">Network </w:t>
      </w:r>
      <w:r w:rsidRPr="00242E96">
        <w:rPr>
          <w:rFonts w:ascii="Arial" w:eastAsia="Calibri" w:hAnsi="Arial" w:cs="Arial"/>
          <w:sz w:val="22"/>
          <w:szCs w:val="22"/>
          <w:lang w:val="en-GB"/>
        </w:rPr>
        <w:t>to enable further improvement.</w:t>
      </w:r>
      <w:bookmarkEnd w:id="1"/>
    </w:p>
    <w:p w14:paraId="471E623C" w14:textId="77777777" w:rsidR="005D3108" w:rsidRDefault="005D3108" w:rsidP="005D3108">
      <w:pPr>
        <w:spacing w:after="200" w:line="276" w:lineRule="auto"/>
        <w:ind w:left="792"/>
        <w:contextualSpacing/>
        <w:jc w:val="both"/>
        <w:rPr>
          <w:rFonts w:ascii="Arial" w:eastAsia="Calibri" w:hAnsi="Arial" w:cs="Arial"/>
          <w:sz w:val="22"/>
          <w:szCs w:val="22"/>
          <w:lang w:val="en-GB"/>
        </w:rPr>
      </w:pPr>
    </w:p>
    <w:p w14:paraId="74ECEE92" w14:textId="5C036C9A" w:rsidR="001D5F49" w:rsidRPr="001D5F49" w:rsidRDefault="001D5F49" w:rsidP="001D5F49">
      <w:pPr>
        <w:numPr>
          <w:ilvl w:val="0"/>
          <w:numId w:val="2"/>
        </w:numPr>
        <w:spacing w:after="200" w:line="276" w:lineRule="auto"/>
        <w:contextualSpacing/>
        <w:jc w:val="both"/>
        <w:rPr>
          <w:rFonts w:ascii="Arial" w:eastAsia="Calibri" w:hAnsi="Arial" w:cs="Arial"/>
          <w:b/>
          <w:sz w:val="22"/>
          <w:szCs w:val="22"/>
          <w:lang w:val="en-GB"/>
        </w:rPr>
      </w:pPr>
      <w:r>
        <w:rPr>
          <w:rFonts w:ascii="Arial" w:eastAsia="Calibri" w:hAnsi="Arial" w:cs="Arial"/>
          <w:b/>
          <w:sz w:val="22"/>
          <w:szCs w:val="22"/>
          <w:lang w:val="en-GB"/>
        </w:rPr>
        <w:t>Capability process</w:t>
      </w:r>
    </w:p>
    <w:p w14:paraId="14D3D5E9" w14:textId="77777777" w:rsidR="003E5212" w:rsidRPr="003E5212" w:rsidRDefault="003E5212" w:rsidP="003E5212">
      <w:pPr>
        <w:jc w:val="both"/>
        <w:rPr>
          <w:rFonts w:ascii="Arial" w:eastAsia="Calibri" w:hAnsi="Arial" w:cs="Arial"/>
          <w:b/>
          <w:sz w:val="22"/>
          <w:szCs w:val="22"/>
          <w:lang w:val="en-GB"/>
        </w:rPr>
      </w:pPr>
    </w:p>
    <w:p w14:paraId="0047D299" w14:textId="25457B14" w:rsidR="00412F6A" w:rsidRDefault="00BF73B2" w:rsidP="00B30274">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The Trust has sustained its 2020</w:t>
      </w:r>
      <w:r w:rsidR="001D58D5">
        <w:rPr>
          <w:rFonts w:ascii="Arial" w:eastAsia="Calibri" w:hAnsi="Arial" w:cs="Arial"/>
          <w:sz w:val="22"/>
          <w:szCs w:val="22"/>
          <w:lang w:val="en-GB"/>
        </w:rPr>
        <w:t xml:space="preserve"> position</w:t>
      </w:r>
      <w:r w:rsidR="006F3E88">
        <w:rPr>
          <w:rFonts w:ascii="Arial" w:eastAsia="Calibri" w:hAnsi="Arial" w:cs="Arial"/>
          <w:sz w:val="22"/>
          <w:szCs w:val="22"/>
          <w:lang w:val="en-GB"/>
        </w:rPr>
        <w:t xml:space="preserve"> of no disabled colleagues entering the formal capability process</w:t>
      </w:r>
      <w:r w:rsidR="007B7922">
        <w:rPr>
          <w:rFonts w:ascii="Arial" w:eastAsia="Calibri" w:hAnsi="Arial" w:cs="Arial"/>
          <w:sz w:val="22"/>
          <w:szCs w:val="22"/>
          <w:lang w:val="en-GB"/>
        </w:rPr>
        <w:t xml:space="preserve"> in 2021</w:t>
      </w:r>
      <w:r w:rsidR="006F3E88">
        <w:rPr>
          <w:rFonts w:ascii="Arial" w:eastAsia="Calibri" w:hAnsi="Arial" w:cs="Arial"/>
          <w:sz w:val="22"/>
          <w:szCs w:val="22"/>
          <w:lang w:val="en-GB"/>
        </w:rPr>
        <w:t>.</w:t>
      </w:r>
    </w:p>
    <w:p w14:paraId="751BFA7A" w14:textId="77777777" w:rsidR="007B7922" w:rsidRDefault="007B7922" w:rsidP="007B7922">
      <w:pPr>
        <w:spacing w:after="200" w:line="276" w:lineRule="auto"/>
        <w:ind w:left="792"/>
        <w:contextualSpacing/>
        <w:jc w:val="both"/>
        <w:rPr>
          <w:rFonts w:ascii="Arial" w:eastAsia="Calibri" w:hAnsi="Arial" w:cs="Arial"/>
          <w:sz w:val="22"/>
          <w:szCs w:val="22"/>
          <w:lang w:val="en-GB"/>
        </w:rPr>
      </w:pPr>
    </w:p>
    <w:p w14:paraId="705D9BDA" w14:textId="3C7242E2" w:rsidR="006F3E88" w:rsidRDefault="000F63AB" w:rsidP="00B30274">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Coupled with an increase in the level reasonable adjustments made</w:t>
      </w:r>
      <w:r w:rsidR="00414552">
        <w:rPr>
          <w:rFonts w:ascii="Arial" w:eastAsia="Calibri" w:hAnsi="Arial" w:cs="Arial"/>
          <w:sz w:val="22"/>
          <w:szCs w:val="22"/>
          <w:lang w:val="en-GB"/>
        </w:rPr>
        <w:t xml:space="preserve"> as reported in the NHS Staff Survey 2020</w:t>
      </w:r>
      <w:r>
        <w:rPr>
          <w:rFonts w:ascii="Arial" w:eastAsia="Calibri" w:hAnsi="Arial" w:cs="Arial"/>
          <w:sz w:val="22"/>
          <w:szCs w:val="22"/>
          <w:lang w:val="en-GB"/>
        </w:rPr>
        <w:t xml:space="preserve"> and a shift in employee relations towards a more fair and just culture</w:t>
      </w:r>
      <w:r w:rsidR="00B255F4">
        <w:rPr>
          <w:rFonts w:ascii="Arial" w:eastAsia="Calibri" w:hAnsi="Arial" w:cs="Arial"/>
          <w:sz w:val="22"/>
          <w:szCs w:val="22"/>
          <w:lang w:val="en-GB"/>
        </w:rPr>
        <w:t xml:space="preserve"> with the employee at the heart of decision making and </w:t>
      </w:r>
      <w:r w:rsidR="00B05D23">
        <w:rPr>
          <w:rFonts w:ascii="Arial" w:eastAsia="Calibri" w:hAnsi="Arial" w:cs="Arial"/>
          <w:sz w:val="22"/>
          <w:szCs w:val="22"/>
          <w:lang w:val="en-GB"/>
        </w:rPr>
        <w:t>part of the solution</w:t>
      </w:r>
      <w:r>
        <w:rPr>
          <w:rFonts w:ascii="Arial" w:eastAsia="Calibri" w:hAnsi="Arial" w:cs="Arial"/>
          <w:sz w:val="22"/>
          <w:szCs w:val="22"/>
          <w:lang w:val="en-GB"/>
        </w:rPr>
        <w:t>, it is believed that this level continues to be sustainable</w:t>
      </w:r>
      <w:r w:rsidR="00414552">
        <w:rPr>
          <w:rFonts w:ascii="Arial" w:eastAsia="Calibri" w:hAnsi="Arial" w:cs="Arial"/>
          <w:sz w:val="22"/>
          <w:szCs w:val="22"/>
          <w:lang w:val="en-GB"/>
        </w:rPr>
        <w:t>.</w:t>
      </w:r>
    </w:p>
    <w:p w14:paraId="6BFEB602" w14:textId="77777777" w:rsidR="001D58D5" w:rsidRDefault="001D58D5" w:rsidP="001D58D5">
      <w:pPr>
        <w:spacing w:after="200" w:line="276" w:lineRule="auto"/>
        <w:ind w:left="792"/>
        <w:contextualSpacing/>
        <w:jc w:val="both"/>
        <w:rPr>
          <w:rFonts w:ascii="Arial" w:eastAsia="Calibri" w:hAnsi="Arial" w:cs="Arial"/>
          <w:sz w:val="22"/>
          <w:szCs w:val="22"/>
          <w:lang w:val="en-GB"/>
        </w:rPr>
      </w:pPr>
    </w:p>
    <w:p w14:paraId="379DFC1F" w14:textId="6AF025E2" w:rsidR="007B7922" w:rsidRDefault="007B7922" w:rsidP="00B30274">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A further supportive measure </w:t>
      </w:r>
      <w:r w:rsidR="001D58D5">
        <w:rPr>
          <w:rFonts w:ascii="Arial" w:eastAsia="Calibri" w:hAnsi="Arial" w:cs="Arial"/>
          <w:sz w:val="22"/>
          <w:szCs w:val="22"/>
          <w:lang w:val="en-GB"/>
        </w:rPr>
        <w:t xml:space="preserve">in 2021 </w:t>
      </w:r>
      <w:r>
        <w:rPr>
          <w:rFonts w:ascii="Arial" w:eastAsia="Calibri" w:hAnsi="Arial" w:cs="Arial"/>
          <w:sz w:val="22"/>
          <w:szCs w:val="22"/>
          <w:lang w:val="en-GB"/>
        </w:rPr>
        <w:t xml:space="preserve">has been a soft update to the Trust’s Sickness Absence and Attendance Policy to support learning from cases and </w:t>
      </w:r>
      <w:r w:rsidR="001D58D5">
        <w:rPr>
          <w:rFonts w:ascii="Arial" w:eastAsia="Calibri" w:hAnsi="Arial" w:cs="Arial"/>
          <w:sz w:val="22"/>
          <w:szCs w:val="22"/>
          <w:lang w:val="en-GB"/>
        </w:rPr>
        <w:t>staff side colleagues.</w:t>
      </w:r>
    </w:p>
    <w:p w14:paraId="397DD560" w14:textId="77777777" w:rsidR="007B7922" w:rsidRDefault="007B7922" w:rsidP="00412F6A">
      <w:pPr>
        <w:spacing w:after="200" w:line="276" w:lineRule="auto"/>
        <w:contextualSpacing/>
        <w:jc w:val="both"/>
        <w:rPr>
          <w:rFonts w:ascii="Arial" w:eastAsia="Calibri" w:hAnsi="Arial" w:cs="Arial"/>
          <w:sz w:val="22"/>
          <w:szCs w:val="22"/>
          <w:lang w:val="en-GB"/>
        </w:rPr>
      </w:pPr>
    </w:p>
    <w:p w14:paraId="3DD06F3A" w14:textId="1898D05A" w:rsidR="00412F6A" w:rsidRPr="001E729E" w:rsidRDefault="00412F6A" w:rsidP="001E729E">
      <w:pPr>
        <w:numPr>
          <w:ilvl w:val="0"/>
          <w:numId w:val="2"/>
        </w:numPr>
        <w:spacing w:after="200" w:line="276" w:lineRule="auto"/>
        <w:contextualSpacing/>
        <w:jc w:val="both"/>
        <w:rPr>
          <w:rFonts w:ascii="Arial" w:eastAsia="Calibri" w:hAnsi="Arial" w:cs="Arial"/>
          <w:b/>
          <w:bCs/>
          <w:sz w:val="22"/>
          <w:szCs w:val="22"/>
          <w:lang w:val="en-GB"/>
        </w:rPr>
      </w:pPr>
      <w:r w:rsidRPr="001E729E">
        <w:rPr>
          <w:rFonts w:ascii="Arial" w:eastAsia="Calibri" w:hAnsi="Arial" w:cs="Arial"/>
          <w:b/>
          <w:bCs/>
          <w:sz w:val="22"/>
          <w:szCs w:val="22"/>
          <w:lang w:val="en-GB"/>
        </w:rPr>
        <w:t>Staff Survey data</w:t>
      </w:r>
    </w:p>
    <w:p w14:paraId="48DCA8B7" w14:textId="356C05AC" w:rsidR="0029548D" w:rsidRDefault="0029548D" w:rsidP="00412F6A">
      <w:pPr>
        <w:spacing w:after="200" w:line="276" w:lineRule="auto"/>
        <w:contextualSpacing/>
        <w:jc w:val="both"/>
        <w:rPr>
          <w:rFonts w:ascii="Arial" w:eastAsia="Calibri" w:hAnsi="Arial" w:cs="Arial"/>
          <w:sz w:val="22"/>
          <w:szCs w:val="22"/>
          <w:lang w:val="en-GB"/>
        </w:rPr>
      </w:pPr>
    </w:p>
    <w:p w14:paraId="0C227A51" w14:textId="1BB86322" w:rsidR="001E729E" w:rsidRDefault="001E729E" w:rsidP="008D32DF">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The NHS Staff Survey </w:t>
      </w:r>
      <w:r w:rsidR="00522E7A">
        <w:rPr>
          <w:rFonts w:ascii="Arial" w:eastAsia="Calibri" w:hAnsi="Arial" w:cs="Arial"/>
          <w:sz w:val="22"/>
          <w:szCs w:val="22"/>
          <w:lang w:val="en-GB"/>
        </w:rPr>
        <w:t>shows a deterioration across a number of levels</w:t>
      </w:r>
      <w:r w:rsidR="0012609A">
        <w:rPr>
          <w:rFonts w:ascii="Arial" w:eastAsia="Calibri" w:hAnsi="Arial" w:cs="Arial"/>
          <w:sz w:val="22"/>
          <w:szCs w:val="22"/>
          <w:lang w:val="en-GB"/>
        </w:rPr>
        <w:t xml:space="preserve"> for disabled colleagues</w:t>
      </w:r>
      <w:r w:rsidR="0051790D">
        <w:rPr>
          <w:rFonts w:ascii="Arial" w:eastAsia="Calibri" w:hAnsi="Arial" w:cs="Arial"/>
          <w:sz w:val="22"/>
          <w:szCs w:val="22"/>
          <w:lang w:val="en-GB"/>
        </w:rPr>
        <w:t>:</w:t>
      </w:r>
    </w:p>
    <w:p w14:paraId="5AC09514" w14:textId="74482006" w:rsidR="0051790D" w:rsidRPr="008D32DF" w:rsidRDefault="0051790D" w:rsidP="008D32DF">
      <w:pPr>
        <w:pStyle w:val="ListParagraph"/>
        <w:numPr>
          <w:ilvl w:val="0"/>
          <w:numId w:val="9"/>
        </w:numPr>
        <w:spacing w:after="200" w:line="276" w:lineRule="auto"/>
        <w:jc w:val="both"/>
        <w:rPr>
          <w:rFonts w:ascii="Arial" w:eastAsia="Calibri" w:hAnsi="Arial" w:cs="Arial"/>
          <w:sz w:val="22"/>
          <w:szCs w:val="22"/>
          <w:lang w:val="en-GB"/>
        </w:rPr>
      </w:pPr>
      <w:r w:rsidRPr="008D32DF">
        <w:rPr>
          <w:rFonts w:ascii="Arial" w:eastAsia="Calibri" w:hAnsi="Arial" w:cs="Arial"/>
          <w:sz w:val="22"/>
          <w:szCs w:val="22"/>
          <w:lang w:val="en-GB"/>
        </w:rPr>
        <w:t xml:space="preserve">Staff experiencing </w:t>
      </w:r>
      <w:r w:rsidR="0012609A" w:rsidRPr="008D32DF">
        <w:rPr>
          <w:rFonts w:ascii="Arial" w:eastAsia="Calibri" w:hAnsi="Arial" w:cs="Arial"/>
          <w:sz w:val="22"/>
          <w:szCs w:val="22"/>
          <w:lang w:val="en-GB"/>
        </w:rPr>
        <w:t xml:space="preserve">harassment, bullying or abuse from </w:t>
      </w:r>
      <w:r w:rsidR="001E7287" w:rsidRPr="008D32DF">
        <w:rPr>
          <w:rFonts w:ascii="Arial" w:eastAsia="Calibri" w:hAnsi="Arial" w:cs="Arial"/>
          <w:sz w:val="22"/>
          <w:szCs w:val="22"/>
          <w:lang w:val="en-GB"/>
        </w:rPr>
        <w:t>managers and other colleagues</w:t>
      </w:r>
    </w:p>
    <w:p w14:paraId="0E016FE8" w14:textId="6FF93975" w:rsidR="00777D9A" w:rsidRPr="008D32DF" w:rsidRDefault="00777D9A" w:rsidP="008D32DF">
      <w:pPr>
        <w:pStyle w:val="ListParagraph"/>
        <w:numPr>
          <w:ilvl w:val="0"/>
          <w:numId w:val="9"/>
        </w:numPr>
        <w:spacing w:after="200" w:line="276" w:lineRule="auto"/>
        <w:jc w:val="both"/>
        <w:rPr>
          <w:rFonts w:ascii="Arial" w:eastAsia="Calibri" w:hAnsi="Arial" w:cs="Arial"/>
          <w:sz w:val="22"/>
          <w:szCs w:val="22"/>
          <w:lang w:val="en-GB"/>
        </w:rPr>
      </w:pPr>
      <w:r w:rsidRPr="008D32DF">
        <w:rPr>
          <w:rFonts w:ascii="Arial" w:eastAsia="Calibri" w:hAnsi="Arial" w:cs="Arial"/>
          <w:sz w:val="22"/>
          <w:szCs w:val="22"/>
          <w:lang w:val="en-GB"/>
        </w:rPr>
        <w:t>Staff saying that the</w:t>
      </w:r>
      <w:r w:rsidR="003232EA" w:rsidRPr="008D32DF">
        <w:rPr>
          <w:rFonts w:ascii="Arial" w:eastAsia="Calibri" w:hAnsi="Arial" w:cs="Arial"/>
          <w:sz w:val="22"/>
          <w:szCs w:val="22"/>
          <w:lang w:val="en-GB"/>
        </w:rPr>
        <w:t xml:space="preserve"> last time they experienced</w:t>
      </w:r>
      <w:r w:rsidR="006647F7" w:rsidRPr="008D32DF">
        <w:rPr>
          <w:rFonts w:ascii="Arial" w:eastAsia="Calibri" w:hAnsi="Arial" w:cs="Arial"/>
          <w:sz w:val="22"/>
          <w:szCs w:val="22"/>
          <w:lang w:val="en-GB"/>
        </w:rPr>
        <w:t xml:space="preserve"> harassment,</w:t>
      </w:r>
      <w:r w:rsidR="003232EA" w:rsidRPr="008D32DF">
        <w:rPr>
          <w:rFonts w:ascii="Arial" w:eastAsia="Calibri" w:hAnsi="Arial" w:cs="Arial"/>
          <w:sz w:val="22"/>
          <w:szCs w:val="22"/>
          <w:lang w:val="en-GB"/>
        </w:rPr>
        <w:t xml:space="preserve"> </w:t>
      </w:r>
      <w:r w:rsidR="006647F7" w:rsidRPr="008D32DF">
        <w:rPr>
          <w:rFonts w:ascii="Arial" w:eastAsia="Calibri" w:hAnsi="Arial" w:cs="Arial"/>
          <w:sz w:val="22"/>
          <w:szCs w:val="22"/>
          <w:lang w:val="en-GB"/>
        </w:rPr>
        <w:t>bullying or abuse, they or a colleague reported it</w:t>
      </w:r>
    </w:p>
    <w:p w14:paraId="25B6BA74" w14:textId="33CF9619" w:rsidR="001E7287" w:rsidRPr="008D32DF" w:rsidRDefault="00450664" w:rsidP="008D32DF">
      <w:pPr>
        <w:pStyle w:val="ListParagraph"/>
        <w:numPr>
          <w:ilvl w:val="0"/>
          <w:numId w:val="9"/>
        </w:numPr>
        <w:spacing w:after="200" w:line="276" w:lineRule="auto"/>
        <w:jc w:val="both"/>
        <w:rPr>
          <w:rFonts w:ascii="Arial" w:eastAsia="Calibri" w:hAnsi="Arial" w:cs="Arial"/>
          <w:sz w:val="22"/>
          <w:szCs w:val="22"/>
          <w:lang w:val="en-GB"/>
        </w:rPr>
      </w:pPr>
      <w:r w:rsidRPr="008D32DF">
        <w:rPr>
          <w:rFonts w:ascii="Arial" w:eastAsia="Calibri" w:hAnsi="Arial" w:cs="Arial"/>
          <w:sz w:val="22"/>
          <w:szCs w:val="22"/>
          <w:lang w:val="en-GB"/>
        </w:rPr>
        <w:t>Staff believing that the Trust provides equal opportunities</w:t>
      </w:r>
      <w:r w:rsidR="00BF6D54" w:rsidRPr="008D32DF">
        <w:rPr>
          <w:rFonts w:ascii="Arial" w:eastAsia="Calibri" w:hAnsi="Arial" w:cs="Arial"/>
          <w:sz w:val="22"/>
          <w:szCs w:val="22"/>
          <w:lang w:val="en-GB"/>
        </w:rPr>
        <w:t xml:space="preserve"> for career progression or promotion</w:t>
      </w:r>
    </w:p>
    <w:p w14:paraId="3DBE186C" w14:textId="72F3C922" w:rsidR="00BF6D54" w:rsidRPr="008D32DF" w:rsidRDefault="00BF6D54" w:rsidP="008D32DF">
      <w:pPr>
        <w:pStyle w:val="ListParagraph"/>
        <w:numPr>
          <w:ilvl w:val="0"/>
          <w:numId w:val="9"/>
        </w:numPr>
        <w:spacing w:after="200" w:line="276" w:lineRule="auto"/>
        <w:jc w:val="both"/>
        <w:rPr>
          <w:rFonts w:ascii="Arial" w:eastAsia="Calibri" w:hAnsi="Arial" w:cs="Arial"/>
          <w:sz w:val="22"/>
          <w:szCs w:val="22"/>
          <w:lang w:val="en-GB"/>
        </w:rPr>
      </w:pPr>
      <w:r w:rsidRPr="008D32DF">
        <w:rPr>
          <w:rFonts w:ascii="Arial" w:eastAsia="Calibri" w:hAnsi="Arial" w:cs="Arial"/>
          <w:sz w:val="22"/>
          <w:szCs w:val="22"/>
          <w:lang w:val="en-GB"/>
        </w:rPr>
        <w:t xml:space="preserve">Staff </w:t>
      </w:r>
      <w:r w:rsidR="00FA422A" w:rsidRPr="008D32DF">
        <w:rPr>
          <w:rFonts w:ascii="Arial" w:eastAsia="Calibri" w:hAnsi="Arial" w:cs="Arial"/>
          <w:sz w:val="22"/>
          <w:szCs w:val="22"/>
          <w:lang w:val="en-GB"/>
        </w:rPr>
        <w:t>saying that they have felt pressure from their manager to come to work despite not being well</w:t>
      </w:r>
      <w:r w:rsidR="003E559B" w:rsidRPr="008D32DF">
        <w:rPr>
          <w:rFonts w:ascii="Arial" w:eastAsia="Calibri" w:hAnsi="Arial" w:cs="Arial"/>
          <w:sz w:val="22"/>
          <w:szCs w:val="22"/>
          <w:lang w:val="en-GB"/>
        </w:rPr>
        <w:t xml:space="preserve"> enough to perform their duties</w:t>
      </w:r>
    </w:p>
    <w:p w14:paraId="68A20493" w14:textId="471E3B75" w:rsidR="003E559B" w:rsidRDefault="003E559B" w:rsidP="008D32DF">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A number of positive areas have also been noted</w:t>
      </w:r>
      <w:r w:rsidR="006647F7">
        <w:rPr>
          <w:rFonts w:ascii="Arial" w:eastAsia="Calibri" w:hAnsi="Arial" w:cs="Arial"/>
          <w:sz w:val="22"/>
          <w:szCs w:val="22"/>
          <w:lang w:val="en-GB"/>
        </w:rPr>
        <w:t>:</w:t>
      </w:r>
    </w:p>
    <w:p w14:paraId="03298450" w14:textId="71DC0F0B" w:rsidR="003E559B" w:rsidRPr="00E7071B" w:rsidRDefault="00185E5C" w:rsidP="00E7071B">
      <w:pPr>
        <w:pStyle w:val="ListParagraph"/>
        <w:numPr>
          <w:ilvl w:val="0"/>
          <w:numId w:val="10"/>
        </w:numPr>
        <w:spacing w:after="200" w:line="276" w:lineRule="auto"/>
        <w:jc w:val="both"/>
        <w:rPr>
          <w:rFonts w:ascii="Arial" w:eastAsia="Calibri" w:hAnsi="Arial" w:cs="Arial"/>
          <w:sz w:val="22"/>
          <w:szCs w:val="22"/>
          <w:lang w:val="en-GB"/>
        </w:rPr>
      </w:pPr>
      <w:r w:rsidRPr="00E7071B">
        <w:rPr>
          <w:rFonts w:ascii="Arial" w:eastAsia="Calibri" w:hAnsi="Arial" w:cs="Arial"/>
          <w:sz w:val="22"/>
          <w:szCs w:val="22"/>
          <w:lang w:val="en-GB"/>
        </w:rPr>
        <w:t>Staff experiencing harassment, bullying or abuse</w:t>
      </w:r>
      <w:r w:rsidR="00772DCC" w:rsidRPr="00E7071B">
        <w:rPr>
          <w:rFonts w:ascii="Arial" w:eastAsia="Calibri" w:hAnsi="Arial" w:cs="Arial"/>
          <w:sz w:val="22"/>
          <w:szCs w:val="22"/>
          <w:lang w:val="en-GB"/>
        </w:rPr>
        <w:t xml:space="preserve"> from the patients, service users, public, families</w:t>
      </w:r>
    </w:p>
    <w:p w14:paraId="223A154E" w14:textId="450E11CC" w:rsidR="00772DCC" w:rsidRPr="00E7071B" w:rsidRDefault="00942052" w:rsidP="00E7071B">
      <w:pPr>
        <w:pStyle w:val="ListParagraph"/>
        <w:numPr>
          <w:ilvl w:val="0"/>
          <w:numId w:val="10"/>
        </w:numPr>
        <w:spacing w:after="200" w:line="276" w:lineRule="auto"/>
        <w:jc w:val="both"/>
        <w:rPr>
          <w:rFonts w:ascii="Arial" w:eastAsia="Calibri" w:hAnsi="Arial" w:cs="Arial"/>
          <w:sz w:val="22"/>
          <w:szCs w:val="22"/>
          <w:lang w:val="en-GB"/>
        </w:rPr>
      </w:pPr>
      <w:r w:rsidRPr="00E7071B">
        <w:rPr>
          <w:rFonts w:ascii="Arial" w:eastAsia="Calibri" w:hAnsi="Arial" w:cs="Arial"/>
          <w:sz w:val="22"/>
          <w:szCs w:val="22"/>
          <w:lang w:val="en-GB"/>
        </w:rPr>
        <w:t xml:space="preserve">Staff saying that they </w:t>
      </w:r>
      <w:r w:rsidR="00AE232D" w:rsidRPr="00E7071B">
        <w:rPr>
          <w:rFonts w:ascii="Arial" w:eastAsia="Calibri" w:hAnsi="Arial" w:cs="Arial"/>
          <w:sz w:val="22"/>
          <w:szCs w:val="22"/>
          <w:lang w:val="en-GB"/>
        </w:rPr>
        <w:t>are satisfied with the extent to which the Trust values their work</w:t>
      </w:r>
    </w:p>
    <w:p w14:paraId="47CDAB9B" w14:textId="2323D5C7" w:rsidR="00CC0A74" w:rsidRPr="00E7071B" w:rsidRDefault="00CC0A74" w:rsidP="00E7071B">
      <w:pPr>
        <w:pStyle w:val="ListParagraph"/>
        <w:numPr>
          <w:ilvl w:val="0"/>
          <w:numId w:val="10"/>
        </w:numPr>
        <w:spacing w:after="200" w:line="276" w:lineRule="auto"/>
        <w:jc w:val="both"/>
        <w:rPr>
          <w:rFonts w:ascii="Arial" w:eastAsia="Calibri" w:hAnsi="Arial" w:cs="Arial"/>
          <w:sz w:val="22"/>
          <w:szCs w:val="22"/>
          <w:lang w:val="en-GB"/>
        </w:rPr>
      </w:pPr>
      <w:r w:rsidRPr="00E7071B">
        <w:rPr>
          <w:rFonts w:ascii="Arial" w:eastAsia="Calibri" w:hAnsi="Arial" w:cs="Arial"/>
          <w:sz w:val="22"/>
          <w:szCs w:val="22"/>
          <w:lang w:val="en-GB"/>
        </w:rPr>
        <w:t xml:space="preserve">Staff saying that their employer has made adequate adjustments to </w:t>
      </w:r>
      <w:r w:rsidR="00DC5747" w:rsidRPr="00E7071B">
        <w:rPr>
          <w:rFonts w:ascii="Arial" w:eastAsia="Calibri" w:hAnsi="Arial" w:cs="Arial"/>
          <w:sz w:val="22"/>
          <w:szCs w:val="22"/>
          <w:lang w:val="en-GB"/>
        </w:rPr>
        <w:t>enable them to carry out their work</w:t>
      </w:r>
    </w:p>
    <w:p w14:paraId="30CD02CB" w14:textId="51666236" w:rsidR="00DC5747" w:rsidRPr="00E7071B" w:rsidRDefault="00DC5747" w:rsidP="00E7071B">
      <w:pPr>
        <w:pStyle w:val="ListParagraph"/>
        <w:numPr>
          <w:ilvl w:val="0"/>
          <w:numId w:val="10"/>
        </w:numPr>
        <w:spacing w:after="200" w:line="276" w:lineRule="auto"/>
        <w:jc w:val="both"/>
        <w:rPr>
          <w:rFonts w:ascii="Arial" w:eastAsia="Calibri" w:hAnsi="Arial" w:cs="Arial"/>
          <w:sz w:val="22"/>
          <w:szCs w:val="22"/>
          <w:lang w:val="en-GB"/>
        </w:rPr>
      </w:pPr>
      <w:r w:rsidRPr="00E7071B">
        <w:rPr>
          <w:rFonts w:ascii="Arial" w:eastAsia="Calibri" w:hAnsi="Arial" w:cs="Arial"/>
          <w:sz w:val="22"/>
          <w:szCs w:val="22"/>
          <w:lang w:val="en-GB"/>
        </w:rPr>
        <w:t xml:space="preserve">Overall Staff Engagement score (compared to </w:t>
      </w:r>
      <w:r w:rsidR="008D32DF" w:rsidRPr="00E7071B">
        <w:rPr>
          <w:rFonts w:ascii="Arial" w:eastAsia="Calibri" w:hAnsi="Arial" w:cs="Arial"/>
          <w:sz w:val="22"/>
          <w:szCs w:val="22"/>
          <w:lang w:val="en-GB"/>
        </w:rPr>
        <w:t>non-disabled and Trust-wide score)</w:t>
      </w:r>
    </w:p>
    <w:p w14:paraId="503DB765" w14:textId="555DFAEA" w:rsidR="00036BBE" w:rsidRDefault="00E7071B" w:rsidP="00BD297F">
      <w:pPr>
        <w:numPr>
          <w:ilvl w:val="1"/>
          <w:numId w:val="2"/>
        </w:numPr>
        <w:spacing w:after="200" w:line="276" w:lineRule="auto"/>
        <w:ind w:hanging="650"/>
        <w:contextualSpacing/>
        <w:jc w:val="both"/>
        <w:rPr>
          <w:rFonts w:ascii="Arial" w:eastAsia="Calibri" w:hAnsi="Arial" w:cs="Arial"/>
          <w:sz w:val="22"/>
          <w:szCs w:val="22"/>
          <w:lang w:val="en-GB"/>
        </w:rPr>
      </w:pPr>
      <w:bookmarkStart w:id="2" w:name="_Hlk77107318"/>
      <w:r>
        <w:rPr>
          <w:rFonts w:ascii="Arial" w:eastAsia="Calibri" w:hAnsi="Arial" w:cs="Arial"/>
          <w:sz w:val="22"/>
          <w:szCs w:val="22"/>
          <w:lang w:val="en-GB"/>
        </w:rPr>
        <w:lastRenderedPageBreak/>
        <w:t xml:space="preserve">Given the </w:t>
      </w:r>
      <w:r w:rsidR="00FC6EF5">
        <w:rPr>
          <w:rFonts w:ascii="Arial" w:eastAsia="Calibri" w:hAnsi="Arial" w:cs="Arial"/>
          <w:sz w:val="22"/>
          <w:szCs w:val="22"/>
          <w:lang w:val="en-GB"/>
        </w:rPr>
        <w:t xml:space="preserve">variance of </w:t>
      </w:r>
      <w:r w:rsidR="00284D03">
        <w:rPr>
          <w:rFonts w:ascii="Arial" w:eastAsia="Calibri" w:hAnsi="Arial" w:cs="Arial"/>
          <w:sz w:val="22"/>
          <w:szCs w:val="22"/>
          <w:lang w:val="en-GB"/>
        </w:rPr>
        <w:t xml:space="preserve">Staff Survey </w:t>
      </w:r>
      <w:r w:rsidR="00FC6EF5">
        <w:rPr>
          <w:rFonts w:ascii="Arial" w:eastAsia="Calibri" w:hAnsi="Arial" w:cs="Arial"/>
          <w:sz w:val="22"/>
          <w:szCs w:val="22"/>
          <w:lang w:val="en-GB"/>
        </w:rPr>
        <w:t>outcomes</w:t>
      </w:r>
      <w:r w:rsidR="00DC677F">
        <w:rPr>
          <w:rFonts w:ascii="Arial" w:eastAsia="Calibri" w:hAnsi="Arial" w:cs="Arial"/>
          <w:sz w:val="22"/>
          <w:szCs w:val="22"/>
          <w:lang w:val="en-GB"/>
        </w:rPr>
        <w:t xml:space="preserve"> as </w:t>
      </w:r>
      <w:r w:rsidR="00284D03">
        <w:rPr>
          <w:rFonts w:ascii="Arial" w:eastAsia="Calibri" w:hAnsi="Arial" w:cs="Arial"/>
          <w:sz w:val="22"/>
          <w:szCs w:val="22"/>
          <w:lang w:val="en-GB"/>
        </w:rPr>
        <w:t>one</w:t>
      </w:r>
      <w:r w:rsidR="00DC677F">
        <w:rPr>
          <w:rFonts w:ascii="Arial" w:eastAsia="Calibri" w:hAnsi="Arial" w:cs="Arial"/>
          <w:sz w:val="22"/>
          <w:szCs w:val="22"/>
          <w:lang w:val="en-GB"/>
        </w:rPr>
        <w:t xml:space="preserve"> source</w:t>
      </w:r>
      <w:r w:rsidR="00FC6EF5">
        <w:rPr>
          <w:rFonts w:ascii="Arial" w:eastAsia="Calibri" w:hAnsi="Arial" w:cs="Arial"/>
          <w:sz w:val="22"/>
          <w:szCs w:val="22"/>
          <w:lang w:val="en-GB"/>
        </w:rPr>
        <w:t xml:space="preserve">, improved communications and publicity </w:t>
      </w:r>
      <w:r w:rsidR="00716AEF">
        <w:rPr>
          <w:rFonts w:ascii="Arial" w:eastAsia="Calibri" w:hAnsi="Arial" w:cs="Arial"/>
          <w:sz w:val="22"/>
          <w:szCs w:val="22"/>
          <w:lang w:val="en-GB"/>
        </w:rPr>
        <w:t>across the Trust would be advisable</w:t>
      </w:r>
      <w:r w:rsidR="00DC677F">
        <w:rPr>
          <w:rFonts w:ascii="Arial" w:eastAsia="Calibri" w:hAnsi="Arial" w:cs="Arial"/>
          <w:sz w:val="22"/>
          <w:szCs w:val="22"/>
          <w:lang w:val="en-GB"/>
        </w:rPr>
        <w:t>.</w:t>
      </w:r>
      <w:r w:rsidR="00FC6EF5">
        <w:rPr>
          <w:rFonts w:ascii="Arial" w:eastAsia="Calibri" w:hAnsi="Arial" w:cs="Arial"/>
          <w:sz w:val="22"/>
          <w:szCs w:val="22"/>
          <w:lang w:val="en-GB"/>
        </w:rPr>
        <w:t xml:space="preserve"> </w:t>
      </w:r>
    </w:p>
    <w:p w14:paraId="116FB775" w14:textId="1F2EE766" w:rsidR="00B028F4" w:rsidRDefault="00B028F4" w:rsidP="003B42A5">
      <w:pPr>
        <w:spacing w:after="200" w:line="276" w:lineRule="auto"/>
        <w:ind w:left="792"/>
        <w:contextualSpacing/>
        <w:jc w:val="both"/>
        <w:rPr>
          <w:rFonts w:ascii="Arial" w:eastAsia="Calibri" w:hAnsi="Arial" w:cs="Arial"/>
          <w:sz w:val="22"/>
          <w:szCs w:val="22"/>
          <w:lang w:val="en-GB"/>
        </w:rPr>
      </w:pPr>
    </w:p>
    <w:p w14:paraId="7DE537DD" w14:textId="367F631A" w:rsidR="001E729E" w:rsidRDefault="00036BBE" w:rsidP="00BD297F">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The deterioration of the perception of equal opportunities and </w:t>
      </w:r>
      <w:r w:rsidR="00C06A50">
        <w:rPr>
          <w:rFonts w:ascii="Arial" w:eastAsia="Calibri" w:hAnsi="Arial" w:cs="Arial"/>
          <w:sz w:val="22"/>
          <w:szCs w:val="22"/>
          <w:lang w:val="en-GB"/>
        </w:rPr>
        <w:t>career progression compared to the relative improvement in the recruitment metric is also an area for further exploration</w:t>
      </w:r>
      <w:r w:rsidR="00BD297F">
        <w:rPr>
          <w:rFonts w:ascii="Arial" w:eastAsia="Calibri" w:hAnsi="Arial" w:cs="Arial"/>
          <w:sz w:val="22"/>
          <w:szCs w:val="22"/>
          <w:lang w:val="en-GB"/>
        </w:rPr>
        <w:t>.</w:t>
      </w:r>
    </w:p>
    <w:bookmarkEnd w:id="2"/>
    <w:p w14:paraId="5809BC96" w14:textId="77777777" w:rsidR="00E7071B" w:rsidRDefault="00E7071B" w:rsidP="00412F6A">
      <w:pPr>
        <w:spacing w:after="200" w:line="276" w:lineRule="auto"/>
        <w:contextualSpacing/>
        <w:jc w:val="both"/>
        <w:rPr>
          <w:rFonts w:ascii="Arial" w:eastAsia="Calibri" w:hAnsi="Arial" w:cs="Arial"/>
          <w:sz w:val="22"/>
          <w:szCs w:val="22"/>
          <w:lang w:val="en-GB"/>
        </w:rPr>
      </w:pPr>
    </w:p>
    <w:p w14:paraId="68411324" w14:textId="78E63F54" w:rsidR="0029548D" w:rsidRPr="00B05D23" w:rsidRDefault="0029548D" w:rsidP="00B05D23">
      <w:pPr>
        <w:numPr>
          <w:ilvl w:val="0"/>
          <w:numId w:val="2"/>
        </w:numPr>
        <w:spacing w:after="200" w:line="276" w:lineRule="auto"/>
        <w:contextualSpacing/>
        <w:jc w:val="both"/>
        <w:rPr>
          <w:rFonts w:ascii="Arial" w:eastAsia="Calibri" w:hAnsi="Arial" w:cs="Arial"/>
          <w:b/>
          <w:bCs/>
          <w:sz w:val="22"/>
          <w:szCs w:val="22"/>
          <w:lang w:val="en-GB"/>
        </w:rPr>
      </w:pPr>
      <w:r w:rsidRPr="00B05D23">
        <w:rPr>
          <w:rFonts w:ascii="Arial" w:eastAsia="Calibri" w:hAnsi="Arial" w:cs="Arial"/>
          <w:b/>
          <w:bCs/>
          <w:sz w:val="22"/>
          <w:szCs w:val="22"/>
          <w:lang w:val="en-GB"/>
        </w:rPr>
        <w:t>Facilitating the voices of disabled colleagues</w:t>
      </w:r>
    </w:p>
    <w:p w14:paraId="34187EBD" w14:textId="5B462717" w:rsidR="0017383F" w:rsidRDefault="0017383F" w:rsidP="00412F6A">
      <w:pPr>
        <w:spacing w:after="200" w:line="276" w:lineRule="auto"/>
        <w:contextualSpacing/>
        <w:jc w:val="both"/>
        <w:rPr>
          <w:rFonts w:ascii="Arial" w:eastAsia="Calibri" w:hAnsi="Arial" w:cs="Arial"/>
          <w:sz w:val="22"/>
          <w:szCs w:val="22"/>
          <w:lang w:val="en-GB"/>
        </w:rPr>
      </w:pPr>
    </w:p>
    <w:p w14:paraId="71C28AA4" w14:textId="07C1A050" w:rsidR="009875B1" w:rsidRDefault="009875B1" w:rsidP="009875B1">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The Trust’s</w:t>
      </w:r>
      <w:r w:rsidR="00177B23">
        <w:rPr>
          <w:rFonts w:ascii="Arial" w:eastAsia="Calibri" w:hAnsi="Arial" w:cs="Arial"/>
          <w:sz w:val="22"/>
          <w:szCs w:val="22"/>
          <w:lang w:val="en-GB"/>
        </w:rPr>
        <w:t xml:space="preserve"> Disability</w:t>
      </w:r>
      <w:r>
        <w:rPr>
          <w:rFonts w:ascii="Arial" w:eastAsia="Calibri" w:hAnsi="Arial" w:cs="Arial"/>
          <w:sz w:val="22"/>
          <w:szCs w:val="22"/>
          <w:lang w:val="en-GB"/>
        </w:rPr>
        <w:t xml:space="preserve"> network has been in place since late 2019 and has developed its collective voice, its membership and reach, alongside an open door approach with the Chief Executive and Director of Workforce.</w:t>
      </w:r>
    </w:p>
    <w:p w14:paraId="628AB78D" w14:textId="77777777" w:rsidR="009875B1" w:rsidRDefault="009875B1" w:rsidP="009875B1">
      <w:pPr>
        <w:spacing w:after="200" w:line="276" w:lineRule="auto"/>
        <w:ind w:left="792"/>
        <w:contextualSpacing/>
        <w:jc w:val="both"/>
        <w:rPr>
          <w:rFonts w:ascii="Arial" w:eastAsia="Calibri" w:hAnsi="Arial" w:cs="Arial"/>
          <w:sz w:val="22"/>
          <w:szCs w:val="22"/>
          <w:lang w:val="en-GB"/>
        </w:rPr>
      </w:pPr>
    </w:p>
    <w:p w14:paraId="2D567E8B" w14:textId="48685068" w:rsidR="00690190" w:rsidRDefault="00177B23" w:rsidP="00225FF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In 2021 t</w:t>
      </w:r>
      <w:r w:rsidR="0001230F">
        <w:rPr>
          <w:rFonts w:ascii="Arial" w:eastAsia="Calibri" w:hAnsi="Arial" w:cs="Arial"/>
          <w:sz w:val="22"/>
          <w:szCs w:val="22"/>
          <w:lang w:val="en-GB"/>
        </w:rPr>
        <w:t xml:space="preserve">he network was renamed </w:t>
      </w:r>
      <w:r w:rsidR="00BC454B">
        <w:rPr>
          <w:rFonts w:ascii="Arial" w:eastAsia="Calibri" w:hAnsi="Arial" w:cs="Arial"/>
          <w:sz w:val="22"/>
          <w:szCs w:val="22"/>
          <w:lang w:val="en-GB"/>
        </w:rPr>
        <w:t>as the Staff Ability Network following discussion at a network meeting</w:t>
      </w:r>
      <w:r w:rsidR="00D5015F">
        <w:rPr>
          <w:rFonts w:ascii="Arial" w:eastAsia="Calibri" w:hAnsi="Arial" w:cs="Arial"/>
          <w:sz w:val="22"/>
          <w:szCs w:val="22"/>
          <w:lang w:val="en-GB"/>
        </w:rPr>
        <w:t xml:space="preserve"> –</w:t>
      </w:r>
      <w:r w:rsidR="00225FF8">
        <w:rPr>
          <w:rFonts w:ascii="Arial" w:eastAsia="Calibri" w:hAnsi="Arial" w:cs="Arial"/>
          <w:sz w:val="22"/>
          <w:szCs w:val="22"/>
          <w:lang w:val="en-GB"/>
        </w:rPr>
        <w:t xml:space="preserve"> </w:t>
      </w:r>
      <w:r w:rsidR="00D5015F">
        <w:rPr>
          <w:rFonts w:ascii="Arial" w:eastAsia="Calibri" w:hAnsi="Arial" w:cs="Arial"/>
          <w:sz w:val="22"/>
          <w:szCs w:val="22"/>
          <w:lang w:val="en-GB"/>
        </w:rPr>
        <w:t>shifting the focus of the group to align to its positive and developmental ethos.</w:t>
      </w:r>
    </w:p>
    <w:p w14:paraId="17676AAF" w14:textId="77777777" w:rsidR="009279F0" w:rsidRDefault="009279F0" w:rsidP="009279F0">
      <w:pPr>
        <w:spacing w:after="200" w:line="276" w:lineRule="auto"/>
        <w:ind w:left="792"/>
        <w:contextualSpacing/>
        <w:jc w:val="both"/>
        <w:rPr>
          <w:rFonts w:ascii="Arial" w:eastAsia="Calibri" w:hAnsi="Arial" w:cs="Arial"/>
          <w:sz w:val="22"/>
          <w:szCs w:val="22"/>
          <w:lang w:val="en-GB"/>
        </w:rPr>
      </w:pPr>
    </w:p>
    <w:p w14:paraId="4B028741" w14:textId="3B0BA6F3" w:rsidR="001719D1" w:rsidRDefault="001719D1" w:rsidP="001719D1">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Governance has been strengthened in 2021 with the establishment of a formal Terms of Reference and membership with key roles established such as Vice Chair to support leadership and management of the group.</w:t>
      </w:r>
    </w:p>
    <w:p w14:paraId="4910860D" w14:textId="77777777" w:rsidR="001719D1" w:rsidRDefault="001719D1" w:rsidP="001719D1">
      <w:pPr>
        <w:spacing w:after="200" w:line="276" w:lineRule="auto"/>
        <w:contextualSpacing/>
        <w:jc w:val="both"/>
        <w:rPr>
          <w:rFonts w:ascii="Arial" w:eastAsia="Calibri" w:hAnsi="Arial" w:cs="Arial"/>
          <w:sz w:val="22"/>
          <w:szCs w:val="22"/>
          <w:lang w:val="en-GB"/>
        </w:rPr>
      </w:pPr>
    </w:p>
    <w:p w14:paraId="64E18A8F" w14:textId="2B829361" w:rsidR="009279F0" w:rsidRDefault="009279F0" w:rsidP="00F01565">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The group’s work to support deaf awareness in the Trust’s vaccination centre was showcased nationally by NHS Employers</w:t>
      </w:r>
      <w:r w:rsidR="001719D1">
        <w:rPr>
          <w:rFonts w:ascii="Arial" w:eastAsia="Calibri" w:hAnsi="Arial" w:cs="Arial"/>
          <w:sz w:val="22"/>
          <w:szCs w:val="22"/>
          <w:lang w:val="en-GB"/>
        </w:rPr>
        <w:t xml:space="preserve"> and locally, its influence is growing to support </w:t>
      </w:r>
      <w:r w:rsidR="00646312">
        <w:rPr>
          <w:rFonts w:ascii="Arial" w:eastAsia="Calibri" w:hAnsi="Arial" w:cs="Arial"/>
          <w:sz w:val="22"/>
          <w:szCs w:val="22"/>
          <w:lang w:val="en-GB"/>
        </w:rPr>
        <w:t>the growth of the Trust’s estate, its employees</w:t>
      </w:r>
      <w:r w:rsidR="00F01565">
        <w:rPr>
          <w:rFonts w:ascii="Arial" w:eastAsia="Calibri" w:hAnsi="Arial" w:cs="Arial"/>
          <w:sz w:val="22"/>
          <w:szCs w:val="22"/>
          <w:lang w:val="en-GB"/>
        </w:rPr>
        <w:t xml:space="preserve"> and patients and relatives</w:t>
      </w:r>
      <w:r w:rsidR="00646312">
        <w:rPr>
          <w:rFonts w:ascii="Arial" w:eastAsia="Calibri" w:hAnsi="Arial" w:cs="Arial"/>
          <w:sz w:val="22"/>
          <w:szCs w:val="22"/>
          <w:lang w:val="en-GB"/>
        </w:rPr>
        <w:t xml:space="preserve"> (</w:t>
      </w:r>
      <w:r w:rsidR="00F01565">
        <w:rPr>
          <w:rFonts w:ascii="Arial" w:eastAsia="Calibri" w:hAnsi="Arial" w:cs="Arial"/>
          <w:sz w:val="22"/>
          <w:szCs w:val="22"/>
          <w:lang w:val="en-GB"/>
        </w:rPr>
        <w:t xml:space="preserve">e.g </w:t>
      </w:r>
      <w:r w:rsidR="00646312" w:rsidRPr="00F01565">
        <w:rPr>
          <w:rFonts w:ascii="Arial" w:eastAsia="Calibri" w:hAnsi="Arial" w:cs="Arial"/>
          <w:sz w:val="22"/>
          <w:szCs w:val="22"/>
          <w:lang w:val="en-GB"/>
        </w:rPr>
        <w:t>Sunflower hidden disabilities scheme</w:t>
      </w:r>
      <w:r w:rsidR="00F01565" w:rsidRPr="00F01565">
        <w:rPr>
          <w:rFonts w:ascii="Arial" w:eastAsia="Calibri" w:hAnsi="Arial" w:cs="Arial"/>
          <w:sz w:val="22"/>
          <w:szCs w:val="22"/>
          <w:lang w:val="en-GB"/>
        </w:rPr>
        <w:t>)</w:t>
      </w:r>
      <w:r w:rsidR="00F01565">
        <w:rPr>
          <w:rFonts w:ascii="Arial" w:eastAsia="Calibri" w:hAnsi="Arial" w:cs="Arial"/>
          <w:sz w:val="22"/>
          <w:szCs w:val="22"/>
          <w:lang w:val="en-GB"/>
        </w:rPr>
        <w:t>.</w:t>
      </w:r>
    </w:p>
    <w:p w14:paraId="58F0C9D4" w14:textId="77777777" w:rsidR="00F526CD" w:rsidRDefault="00F526CD" w:rsidP="00F526CD">
      <w:pPr>
        <w:spacing w:after="200" w:line="276" w:lineRule="auto"/>
        <w:ind w:left="792"/>
        <w:contextualSpacing/>
        <w:jc w:val="both"/>
        <w:rPr>
          <w:rFonts w:ascii="Arial" w:eastAsia="Calibri" w:hAnsi="Arial" w:cs="Arial"/>
          <w:sz w:val="22"/>
          <w:szCs w:val="22"/>
          <w:lang w:val="en-GB"/>
        </w:rPr>
      </w:pPr>
    </w:p>
    <w:p w14:paraId="4B5CCDAC" w14:textId="1C8C99B1" w:rsidR="00F526CD" w:rsidRPr="00F526CD" w:rsidRDefault="00F526CD" w:rsidP="00F526CD">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The Leadership Inclusion Council recruitment and selection process has taken place with many roles having been filled but with action being delayed due to the onset of the Covid-19 pandemic. It is believed that full commencement in the coming quarter will further decision making at Board level and support a wider and greater appreciation of associated issues for both patients (accessibility of services and experience) and colleagues.</w:t>
      </w:r>
    </w:p>
    <w:p w14:paraId="0961786B" w14:textId="7B554B5A" w:rsidR="00744E5E" w:rsidRDefault="00744E5E" w:rsidP="00225FF8">
      <w:pPr>
        <w:spacing w:after="200" w:line="276" w:lineRule="auto"/>
        <w:ind w:left="792"/>
        <w:contextualSpacing/>
        <w:jc w:val="both"/>
        <w:rPr>
          <w:rFonts w:ascii="Arial" w:eastAsia="Calibri" w:hAnsi="Arial" w:cs="Arial"/>
          <w:sz w:val="22"/>
          <w:szCs w:val="22"/>
          <w:lang w:val="en-GB"/>
        </w:rPr>
      </w:pPr>
    </w:p>
    <w:p w14:paraId="4ACF05AE" w14:textId="25DB4047" w:rsidR="001D6708" w:rsidRDefault="001D6708" w:rsidP="00225FF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Further regional (ICS) and national (WDES) engagement is planned to support its development</w:t>
      </w:r>
    </w:p>
    <w:p w14:paraId="676D0EB6" w14:textId="77777777" w:rsidR="00690190" w:rsidRDefault="00690190" w:rsidP="00412F6A">
      <w:pPr>
        <w:spacing w:after="200" w:line="276" w:lineRule="auto"/>
        <w:contextualSpacing/>
        <w:jc w:val="both"/>
        <w:rPr>
          <w:rFonts w:ascii="Arial" w:eastAsia="Calibri" w:hAnsi="Arial" w:cs="Arial"/>
          <w:sz w:val="22"/>
          <w:szCs w:val="22"/>
          <w:lang w:val="en-GB"/>
        </w:rPr>
      </w:pPr>
    </w:p>
    <w:p w14:paraId="13A46CC3" w14:textId="2A268ABF" w:rsidR="0017383F" w:rsidRPr="00B05D23" w:rsidRDefault="0017383F" w:rsidP="00B05D23">
      <w:pPr>
        <w:numPr>
          <w:ilvl w:val="0"/>
          <w:numId w:val="2"/>
        </w:numPr>
        <w:spacing w:after="200" w:line="276" w:lineRule="auto"/>
        <w:contextualSpacing/>
        <w:jc w:val="both"/>
        <w:rPr>
          <w:rFonts w:ascii="Arial" w:eastAsia="Calibri" w:hAnsi="Arial" w:cs="Arial"/>
          <w:b/>
          <w:bCs/>
          <w:sz w:val="22"/>
          <w:szCs w:val="22"/>
          <w:lang w:val="en-GB"/>
        </w:rPr>
      </w:pPr>
      <w:r w:rsidRPr="00B05D23">
        <w:rPr>
          <w:rFonts w:ascii="Arial" w:eastAsia="Calibri" w:hAnsi="Arial" w:cs="Arial"/>
          <w:b/>
          <w:bCs/>
          <w:sz w:val="22"/>
          <w:szCs w:val="22"/>
          <w:lang w:val="en-GB"/>
        </w:rPr>
        <w:t>Trust Board composition</w:t>
      </w:r>
    </w:p>
    <w:p w14:paraId="23A598C1" w14:textId="5DDA4FE1" w:rsidR="0017383F" w:rsidRDefault="0017383F" w:rsidP="00412F6A">
      <w:pPr>
        <w:spacing w:after="200" w:line="276" w:lineRule="auto"/>
        <w:contextualSpacing/>
        <w:jc w:val="both"/>
        <w:rPr>
          <w:rFonts w:ascii="Arial" w:eastAsia="Calibri" w:hAnsi="Arial" w:cs="Arial"/>
          <w:sz w:val="22"/>
          <w:szCs w:val="22"/>
          <w:lang w:val="en-GB"/>
        </w:rPr>
      </w:pPr>
    </w:p>
    <w:p w14:paraId="1B375CEE" w14:textId="114DC068" w:rsidR="00690190" w:rsidRDefault="00DF750D" w:rsidP="007915E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The Trust Board</w:t>
      </w:r>
      <w:r w:rsidR="00E34FE3">
        <w:rPr>
          <w:rFonts w:ascii="Arial" w:eastAsia="Calibri" w:hAnsi="Arial" w:cs="Arial"/>
          <w:sz w:val="22"/>
          <w:szCs w:val="22"/>
          <w:lang w:val="en-GB"/>
        </w:rPr>
        <w:t xml:space="preserve"> composition has not changed markedly from 2020</w:t>
      </w:r>
      <w:r w:rsidR="007915E8">
        <w:rPr>
          <w:rFonts w:ascii="Arial" w:eastAsia="Calibri" w:hAnsi="Arial" w:cs="Arial"/>
          <w:sz w:val="22"/>
          <w:szCs w:val="22"/>
          <w:lang w:val="en-GB"/>
        </w:rPr>
        <w:t xml:space="preserve"> and remains broadly representative of its clinical workforce in terms of disability.</w:t>
      </w:r>
    </w:p>
    <w:p w14:paraId="6EDB1C23" w14:textId="77777777" w:rsidR="007915E8" w:rsidRDefault="007915E8" w:rsidP="007915E8">
      <w:pPr>
        <w:spacing w:after="200" w:line="276" w:lineRule="auto"/>
        <w:ind w:left="792"/>
        <w:contextualSpacing/>
        <w:jc w:val="both"/>
        <w:rPr>
          <w:rFonts w:ascii="Arial" w:eastAsia="Calibri" w:hAnsi="Arial" w:cs="Arial"/>
          <w:sz w:val="22"/>
          <w:szCs w:val="22"/>
          <w:lang w:val="en-GB"/>
        </w:rPr>
      </w:pPr>
    </w:p>
    <w:p w14:paraId="7AB1C7DF" w14:textId="6C1D35DE" w:rsidR="007915E8" w:rsidRDefault="007915E8" w:rsidP="007915E8">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 xml:space="preserve">An improvement in the </w:t>
      </w:r>
      <w:r w:rsidR="009258A7">
        <w:rPr>
          <w:rFonts w:ascii="Arial" w:eastAsia="Calibri" w:hAnsi="Arial" w:cs="Arial"/>
          <w:sz w:val="22"/>
          <w:szCs w:val="22"/>
          <w:lang w:val="en-GB"/>
        </w:rPr>
        <w:t xml:space="preserve">disclosure of disabilities and/or </w:t>
      </w:r>
      <w:r w:rsidR="000306FA">
        <w:rPr>
          <w:rFonts w:ascii="Arial" w:eastAsia="Calibri" w:hAnsi="Arial" w:cs="Arial"/>
          <w:sz w:val="22"/>
          <w:szCs w:val="22"/>
          <w:lang w:val="en-GB"/>
        </w:rPr>
        <w:t>long-term</w:t>
      </w:r>
      <w:r w:rsidR="009258A7">
        <w:rPr>
          <w:rFonts w:ascii="Arial" w:eastAsia="Calibri" w:hAnsi="Arial" w:cs="Arial"/>
          <w:sz w:val="22"/>
          <w:szCs w:val="22"/>
          <w:lang w:val="en-GB"/>
        </w:rPr>
        <w:t xml:space="preserve"> conditions is apparent in 2021 compared to previous years.</w:t>
      </w:r>
    </w:p>
    <w:p w14:paraId="0FAB178C" w14:textId="36D82FC2" w:rsidR="00690190" w:rsidRDefault="00690190" w:rsidP="00412F6A">
      <w:pPr>
        <w:spacing w:after="200" w:line="276" w:lineRule="auto"/>
        <w:contextualSpacing/>
        <w:jc w:val="both"/>
        <w:rPr>
          <w:rFonts w:ascii="Arial" w:eastAsia="Calibri" w:hAnsi="Arial" w:cs="Arial"/>
          <w:sz w:val="22"/>
          <w:szCs w:val="22"/>
          <w:lang w:val="en-GB"/>
        </w:rPr>
      </w:pPr>
    </w:p>
    <w:p w14:paraId="1EACE83E" w14:textId="1968FE2B" w:rsidR="00AA41AE" w:rsidRDefault="00AA41AE" w:rsidP="00412F6A">
      <w:pPr>
        <w:spacing w:after="200" w:line="276" w:lineRule="auto"/>
        <w:contextualSpacing/>
        <w:jc w:val="both"/>
        <w:rPr>
          <w:rFonts w:ascii="Arial" w:eastAsia="Calibri" w:hAnsi="Arial" w:cs="Arial"/>
          <w:sz w:val="22"/>
          <w:szCs w:val="22"/>
          <w:lang w:val="en-GB"/>
        </w:rPr>
      </w:pPr>
    </w:p>
    <w:p w14:paraId="6BEB676C" w14:textId="40EB9617" w:rsidR="00AA41AE" w:rsidRDefault="00AA41AE" w:rsidP="00412F6A">
      <w:pPr>
        <w:spacing w:after="200" w:line="276" w:lineRule="auto"/>
        <w:contextualSpacing/>
        <w:jc w:val="both"/>
        <w:rPr>
          <w:rFonts w:ascii="Arial" w:eastAsia="Calibri" w:hAnsi="Arial" w:cs="Arial"/>
          <w:sz w:val="22"/>
          <w:szCs w:val="22"/>
          <w:lang w:val="en-GB"/>
        </w:rPr>
      </w:pPr>
    </w:p>
    <w:p w14:paraId="28E9D3F0" w14:textId="19B3FA5B" w:rsidR="00AA41AE" w:rsidRDefault="00AA41AE" w:rsidP="00412F6A">
      <w:pPr>
        <w:spacing w:after="200" w:line="276" w:lineRule="auto"/>
        <w:contextualSpacing/>
        <w:jc w:val="both"/>
        <w:rPr>
          <w:rFonts w:ascii="Arial" w:eastAsia="Calibri" w:hAnsi="Arial" w:cs="Arial"/>
          <w:sz w:val="22"/>
          <w:szCs w:val="22"/>
          <w:lang w:val="en-GB"/>
        </w:rPr>
      </w:pPr>
    </w:p>
    <w:p w14:paraId="28982ADC" w14:textId="77777777" w:rsidR="00016667" w:rsidRDefault="00016667" w:rsidP="00412F6A">
      <w:pPr>
        <w:spacing w:after="200" w:line="276" w:lineRule="auto"/>
        <w:contextualSpacing/>
        <w:jc w:val="both"/>
        <w:rPr>
          <w:rFonts w:ascii="Arial" w:eastAsia="Calibri" w:hAnsi="Arial" w:cs="Arial"/>
          <w:sz w:val="22"/>
          <w:szCs w:val="22"/>
          <w:lang w:val="en-GB"/>
        </w:rPr>
      </w:pPr>
    </w:p>
    <w:p w14:paraId="51A79905" w14:textId="5B09CDF0" w:rsidR="0017383F" w:rsidRPr="00B05D23" w:rsidRDefault="0017383F" w:rsidP="00B05D23">
      <w:pPr>
        <w:numPr>
          <w:ilvl w:val="0"/>
          <w:numId w:val="2"/>
        </w:numPr>
        <w:spacing w:after="200" w:line="276" w:lineRule="auto"/>
        <w:contextualSpacing/>
        <w:jc w:val="both"/>
        <w:rPr>
          <w:rFonts w:ascii="Arial" w:eastAsia="Calibri" w:hAnsi="Arial" w:cs="Arial"/>
          <w:b/>
          <w:bCs/>
          <w:sz w:val="22"/>
          <w:szCs w:val="22"/>
          <w:lang w:val="en-GB"/>
        </w:rPr>
      </w:pPr>
      <w:r w:rsidRPr="00B05D23">
        <w:rPr>
          <w:rFonts w:ascii="Arial" w:eastAsia="Calibri" w:hAnsi="Arial" w:cs="Arial"/>
          <w:b/>
          <w:bCs/>
          <w:sz w:val="22"/>
          <w:szCs w:val="22"/>
          <w:lang w:val="en-GB"/>
        </w:rPr>
        <w:lastRenderedPageBreak/>
        <w:t>Recommendations</w:t>
      </w:r>
    </w:p>
    <w:p w14:paraId="595D18C5" w14:textId="77777777" w:rsidR="00341A1C" w:rsidRDefault="00341A1C" w:rsidP="00341A1C">
      <w:pPr>
        <w:spacing w:after="200" w:line="276" w:lineRule="auto"/>
        <w:ind w:left="792"/>
        <w:contextualSpacing/>
        <w:jc w:val="both"/>
        <w:rPr>
          <w:rFonts w:ascii="Arial" w:eastAsia="Calibri" w:hAnsi="Arial" w:cs="Arial"/>
          <w:sz w:val="22"/>
          <w:szCs w:val="22"/>
          <w:lang w:val="en-GB"/>
        </w:rPr>
      </w:pPr>
    </w:p>
    <w:p w14:paraId="18B54BC6" w14:textId="60692AFF" w:rsidR="00467A3E" w:rsidRDefault="00467A3E" w:rsidP="009258A7">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Take steps to encourage colleagues to self-declare their disability</w:t>
      </w:r>
      <w:r w:rsidR="009258A7">
        <w:rPr>
          <w:rFonts w:ascii="Arial" w:eastAsia="Calibri" w:hAnsi="Arial" w:cs="Arial"/>
          <w:sz w:val="22"/>
          <w:szCs w:val="22"/>
          <w:lang w:val="en-GB"/>
        </w:rPr>
        <w:t>/long term  condition</w:t>
      </w:r>
      <w:r>
        <w:rPr>
          <w:rFonts w:ascii="Arial" w:eastAsia="Calibri" w:hAnsi="Arial" w:cs="Arial"/>
          <w:sz w:val="22"/>
          <w:szCs w:val="22"/>
          <w:lang w:val="en-GB"/>
        </w:rPr>
        <w:t xml:space="preserve"> status</w:t>
      </w:r>
      <w:r w:rsidR="009258A7">
        <w:rPr>
          <w:rFonts w:ascii="Arial" w:eastAsia="Calibri" w:hAnsi="Arial" w:cs="Arial"/>
          <w:sz w:val="22"/>
          <w:szCs w:val="22"/>
          <w:lang w:val="en-GB"/>
        </w:rPr>
        <w:t xml:space="preserve"> through positive communications and improved use of electronic systems</w:t>
      </w:r>
    </w:p>
    <w:p w14:paraId="784BE233" w14:textId="77777777" w:rsidR="00467A3E" w:rsidRDefault="00467A3E" w:rsidP="009258A7">
      <w:pPr>
        <w:spacing w:after="200" w:line="276" w:lineRule="auto"/>
        <w:ind w:left="792"/>
        <w:contextualSpacing/>
        <w:jc w:val="both"/>
        <w:rPr>
          <w:rFonts w:ascii="Arial" w:eastAsia="Calibri" w:hAnsi="Arial" w:cs="Arial"/>
          <w:sz w:val="22"/>
          <w:szCs w:val="22"/>
          <w:lang w:val="en-GB"/>
        </w:rPr>
      </w:pPr>
    </w:p>
    <w:p w14:paraId="351A88CF" w14:textId="6020DB8C" w:rsidR="003E5212" w:rsidRDefault="000A3171" w:rsidP="009258A7">
      <w:pPr>
        <w:numPr>
          <w:ilvl w:val="1"/>
          <w:numId w:val="2"/>
        </w:numPr>
        <w:spacing w:after="200" w:line="276" w:lineRule="auto"/>
        <w:ind w:hanging="650"/>
        <w:contextualSpacing/>
        <w:jc w:val="both"/>
        <w:rPr>
          <w:rFonts w:ascii="Arial" w:eastAsia="Calibri" w:hAnsi="Arial" w:cs="Arial"/>
          <w:sz w:val="22"/>
          <w:szCs w:val="22"/>
          <w:lang w:val="en-GB"/>
        </w:rPr>
      </w:pPr>
      <w:r w:rsidRPr="000A3171">
        <w:rPr>
          <w:rFonts w:ascii="Arial" w:eastAsia="Calibri" w:hAnsi="Arial" w:cs="Arial"/>
          <w:sz w:val="22"/>
          <w:szCs w:val="22"/>
          <w:lang w:val="en-GB"/>
        </w:rPr>
        <w:t xml:space="preserve">Disability Confident Level 3 (Leader) is the aspiration for all Trusts and a further self-assessment toolkit </w:t>
      </w:r>
      <w:r w:rsidR="009258A7">
        <w:rPr>
          <w:rFonts w:ascii="Arial" w:eastAsia="Calibri" w:hAnsi="Arial" w:cs="Arial"/>
          <w:sz w:val="22"/>
          <w:szCs w:val="22"/>
          <w:lang w:val="en-GB"/>
        </w:rPr>
        <w:t>should</w:t>
      </w:r>
      <w:r w:rsidRPr="000A3171">
        <w:rPr>
          <w:rFonts w:ascii="Arial" w:eastAsia="Calibri" w:hAnsi="Arial" w:cs="Arial"/>
          <w:sz w:val="22"/>
          <w:szCs w:val="22"/>
          <w:lang w:val="en-GB"/>
        </w:rPr>
        <w:t xml:space="preserve"> be completed in collaboration with the Staff Ability Network to enable further improvement.</w:t>
      </w:r>
    </w:p>
    <w:p w14:paraId="5CBDF417" w14:textId="683BCAD7" w:rsidR="00F5331B" w:rsidRDefault="00F5331B" w:rsidP="009258A7">
      <w:pPr>
        <w:spacing w:after="200" w:line="276" w:lineRule="auto"/>
        <w:ind w:left="792"/>
        <w:contextualSpacing/>
        <w:jc w:val="both"/>
        <w:rPr>
          <w:rFonts w:ascii="Arial" w:eastAsia="Calibri" w:hAnsi="Arial" w:cs="Arial"/>
          <w:sz w:val="22"/>
          <w:szCs w:val="22"/>
          <w:lang w:val="en-GB"/>
        </w:rPr>
      </w:pPr>
    </w:p>
    <w:p w14:paraId="58E19284" w14:textId="02B0FF7E" w:rsidR="00F5331B" w:rsidRDefault="00F5331B" w:rsidP="009258A7">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Triangulation of data is required to impact upon staff experience</w:t>
      </w:r>
      <w:r w:rsidR="00991972">
        <w:rPr>
          <w:rFonts w:ascii="Arial" w:eastAsia="Calibri" w:hAnsi="Arial" w:cs="Arial"/>
          <w:sz w:val="22"/>
          <w:szCs w:val="22"/>
          <w:lang w:val="en-GB"/>
        </w:rPr>
        <w:t xml:space="preserve"> </w:t>
      </w:r>
      <w:r w:rsidR="00690190">
        <w:rPr>
          <w:rFonts w:ascii="Arial" w:eastAsia="Calibri" w:hAnsi="Arial" w:cs="Arial"/>
          <w:sz w:val="22"/>
          <w:szCs w:val="22"/>
          <w:lang w:val="en-GB"/>
        </w:rPr>
        <w:t>e.g.,</w:t>
      </w:r>
      <w:r w:rsidR="008454F3">
        <w:rPr>
          <w:rFonts w:ascii="Arial" w:eastAsia="Calibri" w:hAnsi="Arial" w:cs="Arial"/>
          <w:sz w:val="22"/>
          <w:szCs w:val="22"/>
          <w:lang w:val="en-GB"/>
        </w:rPr>
        <w:t xml:space="preserve"> informally resolved cases,</w:t>
      </w:r>
      <w:r w:rsidR="00991972">
        <w:rPr>
          <w:rFonts w:ascii="Arial" w:eastAsia="Calibri" w:hAnsi="Arial" w:cs="Arial"/>
          <w:sz w:val="22"/>
          <w:szCs w:val="22"/>
          <w:lang w:val="en-GB"/>
        </w:rPr>
        <w:t xml:space="preserve"> grievance</w:t>
      </w:r>
      <w:r w:rsidR="008454F3">
        <w:rPr>
          <w:rFonts w:ascii="Arial" w:eastAsia="Calibri" w:hAnsi="Arial" w:cs="Arial"/>
          <w:sz w:val="22"/>
          <w:szCs w:val="22"/>
          <w:lang w:val="en-GB"/>
        </w:rPr>
        <w:t xml:space="preserve"> and</w:t>
      </w:r>
      <w:r w:rsidR="00991972">
        <w:rPr>
          <w:rFonts w:ascii="Arial" w:eastAsia="Calibri" w:hAnsi="Arial" w:cs="Arial"/>
          <w:sz w:val="22"/>
          <w:szCs w:val="22"/>
          <w:lang w:val="en-GB"/>
        </w:rPr>
        <w:t xml:space="preserve"> disciplinary data, exit questionnaires, </w:t>
      </w:r>
      <w:r w:rsidR="00A2010B">
        <w:rPr>
          <w:rFonts w:ascii="Arial" w:eastAsia="Calibri" w:hAnsi="Arial" w:cs="Arial"/>
          <w:sz w:val="22"/>
          <w:szCs w:val="22"/>
          <w:lang w:val="en-GB"/>
        </w:rPr>
        <w:t>data held by</w:t>
      </w:r>
      <w:r w:rsidR="005B61C3">
        <w:rPr>
          <w:rFonts w:ascii="Arial" w:eastAsia="Calibri" w:hAnsi="Arial" w:cs="Arial"/>
          <w:sz w:val="22"/>
          <w:szCs w:val="22"/>
          <w:lang w:val="en-GB"/>
        </w:rPr>
        <w:t>;</w:t>
      </w:r>
      <w:r w:rsidR="00A2010B">
        <w:rPr>
          <w:rFonts w:ascii="Arial" w:eastAsia="Calibri" w:hAnsi="Arial" w:cs="Arial"/>
          <w:sz w:val="22"/>
          <w:szCs w:val="22"/>
          <w:lang w:val="en-GB"/>
        </w:rPr>
        <w:t xml:space="preserve"> staff side colleagues, FTSU guardian</w:t>
      </w:r>
      <w:r w:rsidR="005B61C3">
        <w:rPr>
          <w:rFonts w:ascii="Arial" w:eastAsia="Calibri" w:hAnsi="Arial" w:cs="Arial"/>
          <w:sz w:val="22"/>
          <w:szCs w:val="22"/>
          <w:lang w:val="en-GB"/>
        </w:rPr>
        <w:t>, Staff Health and Wellbeing</w:t>
      </w:r>
      <w:r w:rsidR="008454F3">
        <w:rPr>
          <w:rFonts w:ascii="Arial" w:eastAsia="Calibri" w:hAnsi="Arial" w:cs="Arial"/>
          <w:sz w:val="22"/>
          <w:szCs w:val="22"/>
          <w:lang w:val="en-GB"/>
        </w:rPr>
        <w:t>, Incident reports</w:t>
      </w:r>
    </w:p>
    <w:p w14:paraId="224652C3" w14:textId="7EE1C719" w:rsidR="005A35C1" w:rsidRDefault="005A35C1" w:rsidP="009258A7">
      <w:pPr>
        <w:spacing w:after="200" w:line="276" w:lineRule="auto"/>
        <w:ind w:left="792"/>
        <w:contextualSpacing/>
        <w:jc w:val="both"/>
        <w:rPr>
          <w:rFonts w:ascii="Arial" w:eastAsia="Calibri" w:hAnsi="Arial" w:cs="Arial"/>
          <w:sz w:val="22"/>
          <w:szCs w:val="22"/>
          <w:lang w:val="en-GB"/>
        </w:rPr>
      </w:pPr>
    </w:p>
    <w:p w14:paraId="115E2F8C" w14:textId="6552CF7F" w:rsidR="002E75FE" w:rsidRDefault="002E75FE" w:rsidP="002E75FE">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Explore further t</w:t>
      </w:r>
      <w:r w:rsidRPr="003B42A5">
        <w:rPr>
          <w:rFonts w:ascii="Arial" w:eastAsia="Calibri" w:hAnsi="Arial" w:cs="Arial"/>
          <w:sz w:val="22"/>
          <w:szCs w:val="22"/>
          <w:lang w:val="en-GB"/>
        </w:rPr>
        <w:t>he deterioration of the perception of equal opportunities and career progression compared to the relative improvement in the recruitment metric</w:t>
      </w:r>
      <w:r>
        <w:rPr>
          <w:rFonts w:ascii="Arial" w:eastAsia="Calibri" w:hAnsi="Arial" w:cs="Arial"/>
          <w:sz w:val="22"/>
          <w:szCs w:val="22"/>
          <w:lang w:val="en-GB"/>
        </w:rPr>
        <w:t xml:space="preserve"> – career pathways are a development area within the Workforce Strategy.</w:t>
      </w:r>
    </w:p>
    <w:p w14:paraId="05F8FD32" w14:textId="77777777" w:rsidR="002E75FE" w:rsidRDefault="002E75FE" w:rsidP="002E75FE">
      <w:pPr>
        <w:spacing w:after="200" w:line="276" w:lineRule="auto"/>
        <w:ind w:left="792"/>
        <w:contextualSpacing/>
        <w:jc w:val="both"/>
        <w:rPr>
          <w:rFonts w:ascii="Arial" w:eastAsia="Calibri" w:hAnsi="Arial" w:cs="Arial"/>
          <w:sz w:val="22"/>
          <w:szCs w:val="22"/>
          <w:lang w:val="en-GB"/>
        </w:rPr>
      </w:pPr>
    </w:p>
    <w:p w14:paraId="369FF621" w14:textId="0EF91DCD" w:rsidR="005A35C1" w:rsidRDefault="005A35C1" w:rsidP="009258A7">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Cultural Ambassadors</w:t>
      </w:r>
      <w:r w:rsidR="002C3701">
        <w:rPr>
          <w:rFonts w:ascii="Arial" w:eastAsia="Calibri" w:hAnsi="Arial" w:cs="Arial"/>
          <w:sz w:val="22"/>
          <w:szCs w:val="22"/>
          <w:lang w:val="en-GB"/>
        </w:rPr>
        <w:t>,</w:t>
      </w:r>
      <w:r>
        <w:rPr>
          <w:rFonts w:ascii="Arial" w:eastAsia="Calibri" w:hAnsi="Arial" w:cs="Arial"/>
          <w:sz w:val="22"/>
          <w:szCs w:val="22"/>
          <w:lang w:val="en-GB"/>
        </w:rPr>
        <w:t xml:space="preserve"> License to Hire </w:t>
      </w:r>
      <w:r w:rsidR="00377F42">
        <w:rPr>
          <w:rFonts w:ascii="Arial" w:eastAsia="Calibri" w:hAnsi="Arial" w:cs="Arial"/>
          <w:sz w:val="22"/>
          <w:szCs w:val="22"/>
          <w:lang w:val="en-GB"/>
        </w:rPr>
        <w:t>training</w:t>
      </w:r>
      <w:r w:rsidR="002C3701">
        <w:rPr>
          <w:rFonts w:ascii="Arial" w:eastAsia="Calibri" w:hAnsi="Arial" w:cs="Arial"/>
          <w:sz w:val="22"/>
          <w:szCs w:val="22"/>
          <w:lang w:val="en-GB"/>
        </w:rPr>
        <w:t xml:space="preserve"> and Disability Passports</w:t>
      </w:r>
      <w:r w:rsidR="00377F42">
        <w:rPr>
          <w:rFonts w:ascii="Arial" w:eastAsia="Calibri" w:hAnsi="Arial" w:cs="Arial"/>
          <w:sz w:val="22"/>
          <w:szCs w:val="22"/>
          <w:lang w:val="en-GB"/>
        </w:rPr>
        <w:t xml:space="preserve"> </w:t>
      </w:r>
      <w:r w:rsidR="00144289">
        <w:rPr>
          <w:rFonts w:ascii="Arial" w:eastAsia="Calibri" w:hAnsi="Arial" w:cs="Arial"/>
          <w:sz w:val="22"/>
          <w:szCs w:val="22"/>
          <w:lang w:val="en-GB"/>
        </w:rPr>
        <w:t xml:space="preserve">are part of the Workforce Strategy Plan </w:t>
      </w:r>
      <w:r w:rsidR="00E06F07">
        <w:rPr>
          <w:rFonts w:ascii="Arial" w:eastAsia="Calibri" w:hAnsi="Arial" w:cs="Arial"/>
          <w:sz w:val="22"/>
          <w:szCs w:val="22"/>
          <w:lang w:val="en-GB"/>
        </w:rPr>
        <w:t>and will support further improvement in the recruitment metric</w:t>
      </w:r>
      <w:r w:rsidR="002C3701">
        <w:rPr>
          <w:rFonts w:ascii="Arial" w:eastAsia="Calibri" w:hAnsi="Arial" w:cs="Arial"/>
          <w:sz w:val="22"/>
          <w:szCs w:val="22"/>
          <w:lang w:val="en-GB"/>
        </w:rPr>
        <w:t xml:space="preserve"> as well as the equal opportunities and career development NHS Staff Survey outcomes. </w:t>
      </w:r>
    </w:p>
    <w:p w14:paraId="1B527044" w14:textId="44A992D5" w:rsidR="003B42A5" w:rsidRDefault="003B42A5" w:rsidP="009258A7">
      <w:pPr>
        <w:spacing w:after="200" w:line="276" w:lineRule="auto"/>
        <w:ind w:left="792"/>
        <w:contextualSpacing/>
        <w:jc w:val="both"/>
        <w:rPr>
          <w:rFonts w:ascii="Arial" w:eastAsia="Calibri" w:hAnsi="Arial" w:cs="Arial"/>
          <w:sz w:val="22"/>
          <w:szCs w:val="22"/>
          <w:lang w:val="en-GB"/>
        </w:rPr>
      </w:pPr>
    </w:p>
    <w:p w14:paraId="62C80036" w14:textId="1E6F7033" w:rsidR="003B42A5" w:rsidRPr="003B42A5" w:rsidRDefault="00D8025C" w:rsidP="009258A7">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I</w:t>
      </w:r>
      <w:r w:rsidR="003B42A5" w:rsidRPr="003B42A5">
        <w:rPr>
          <w:rFonts w:ascii="Arial" w:eastAsia="Calibri" w:hAnsi="Arial" w:cs="Arial"/>
          <w:sz w:val="22"/>
          <w:szCs w:val="22"/>
          <w:lang w:val="en-GB"/>
        </w:rPr>
        <w:t xml:space="preserve">mprove communications and publicity across the Trust </w:t>
      </w:r>
      <w:r w:rsidR="00351428">
        <w:rPr>
          <w:rFonts w:ascii="Arial" w:eastAsia="Calibri" w:hAnsi="Arial" w:cs="Arial"/>
          <w:sz w:val="22"/>
          <w:szCs w:val="22"/>
          <w:lang w:val="en-GB"/>
        </w:rPr>
        <w:t xml:space="preserve">specifically </w:t>
      </w:r>
      <w:r>
        <w:rPr>
          <w:rFonts w:ascii="Arial" w:eastAsia="Calibri" w:hAnsi="Arial" w:cs="Arial"/>
          <w:sz w:val="22"/>
          <w:szCs w:val="22"/>
          <w:lang w:val="en-GB"/>
        </w:rPr>
        <w:t>around</w:t>
      </w:r>
      <w:r w:rsidR="00351428">
        <w:rPr>
          <w:rFonts w:ascii="Arial" w:eastAsia="Calibri" w:hAnsi="Arial" w:cs="Arial"/>
          <w:sz w:val="22"/>
          <w:szCs w:val="22"/>
          <w:lang w:val="en-GB"/>
        </w:rPr>
        <w:t xml:space="preserve"> the impact</w:t>
      </w:r>
      <w:r>
        <w:rPr>
          <w:rFonts w:ascii="Arial" w:eastAsia="Calibri" w:hAnsi="Arial" w:cs="Arial"/>
          <w:sz w:val="22"/>
          <w:szCs w:val="22"/>
          <w:lang w:val="en-GB"/>
        </w:rPr>
        <w:t xml:space="preserve"> </w:t>
      </w:r>
      <w:r w:rsidR="00351428">
        <w:rPr>
          <w:rFonts w:ascii="Arial" w:eastAsia="Calibri" w:hAnsi="Arial" w:cs="Arial"/>
          <w:sz w:val="22"/>
          <w:szCs w:val="22"/>
          <w:lang w:val="en-GB"/>
        </w:rPr>
        <w:t xml:space="preserve">of </w:t>
      </w:r>
      <w:r>
        <w:rPr>
          <w:rFonts w:ascii="Arial" w:eastAsia="Calibri" w:hAnsi="Arial" w:cs="Arial"/>
          <w:sz w:val="22"/>
          <w:szCs w:val="22"/>
          <w:lang w:val="en-GB"/>
        </w:rPr>
        <w:t>key workstreams such as;</w:t>
      </w:r>
      <w:r w:rsidR="00351428">
        <w:rPr>
          <w:rFonts w:ascii="Arial" w:eastAsia="Calibri" w:hAnsi="Arial" w:cs="Arial"/>
          <w:sz w:val="22"/>
          <w:szCs w:val="22"/>
          <w:lang w:val="en-GB"/>
        </w:rPr>
        <w:t xml:space="preserve"> </w:t>
      </w:r>
      <w:r>
        <w:rPr>
          <w:rFonts w:ascii="Arial" w:eastAsia="Calibri" w:hAnsi="Arial" w:cs="Arial"/>
          <w:sz w:val="22"/>
          <w:szCs w:val="22"/>
          <w:lang w:val="en-GB"/>
        </w:rPr>
        <w:t>Staff Ability Network and achievements, working groups on additional paid hours</w:t>
      </w:r>
      <w:r w:rsidR="00D01FB3">
        <w:rPr>
          <w:rFonts w:ascii="Arial" w:eastAsia="Calibri" w:hAnsi="Arial" w:cs="Arial"/>
          <w:sz w:val="22"/>
          <w:szCs w:val="22"/>
          <w:lang w:val="en-GB"/>
        </w:rPr>
        <w:t xml:space="preserve">, presenteeism, </w:t>
      </w:r>
      <w:r w:rsidR="00690190">
        <w:rPr>
          <w:rFonts w:ascii="Arial" w:eastAsia="Calibri" w:hAnsi="Arial" w:cs="Arial"/>
          <w:sz w:val="22"/>
          <w:szCs w:val="22"/>
          <w:lang w:val="en-GB"/>
        </w:rPr>
        <w:t>violence and aggression in the workplace</w:t>
      </w:r>
      <w:r w:rsidR="00124320">
        <w:rPr>
          <w:rFonts w:ascii="Arial" w:eastAsia="Calibri" w:hAnsi="Arial" w:cs="Arial"/>
          <w:sz w:val="22"/>
          <w:szCs w:val="22"/>
          <w:lang w:val="en-GB"/>
        </w:rPr>
        <w:t xml:space="preserve">, </w:t>
      </w:r>
      <w:r w:rsidR="00D01FB3">
        <w:rPr>
          <w:rFonts w:ascii="Arial" w:eastAsia="Calibri" w:hAnsi="Arial" w:cs="Arial"/>
          <w:sz w:val="22"/>
          <w:szCs w:val="22"/>
          <w:lang w:val="en-GB"/>
        </w:rPr>
        <w:t xml:space="preserve">the </w:t>
      </w:r>
      <w:r w:rsidR="00124320">
        <w:rPr>
          <w:rFonts w:ascii="Arial" w:eastAsia="Calibri" w:hAnsi="Arial" w:cs="Arial"/>
          <w:sz w:val="22"/>
          <w:szCs w:val="22"/>
          <w:lang w:val="en-GB"/>
        </w:rPr>
        <w:t>Living our Values culture programme and behaviours framework</w:t>
      </w:r>
      <w:r w:rsidR="00D01FB3">
        <w:rPr>
          <w:rFonts w:ascii="Arial" w:eastAsia="Calibri" w:hAnsi="Arial" w:cs="Arial"/>
          <w:sz w:val="22"/>
          <w:szCs w:val="22"/>
          <w:lang w:val="en-GB"/>
        </w:rPr>
        <w:t>.</w:t>
      </w:r>
    </w:p>
    <w:p w14:paraId="6A241879" w14:textId="77777777" w:rsidR="009258A7" w:rsidRDefault="009258A7" w:rsidP="002E75FE">
      <w:pPr>
        <w:spacing w:after="200" w:line="276" w:lineRule="auto"/>
        <w:contextualSpacing/>
        <w:jc w:val="both"/>
        <w:rPr>
          <w:rFonts w:ascii="Arial" w:eastAsia="Calibri" w:hAnsi="Arial" w:cs="Arial"/>
          <w:sz w:val="22"/>
          <w:szCs w:val="22"/>
          <w:lang w:val="en-GB"/>
        </w:rPr>
      </w:pPr>
    </w:p>
    <w:p w14:paraId="0376DB15" w14:textId="3F46E639" w:rsidR="00AB0479" w:rsidRDefault="00225FF8" w:rsidP="00F15264">
      <w:pPr>
        <w:numPr>
          <w:ilvl w:val="1"/>
          <w:numId w:val="2"/>
        </w:numPr>
        <w:spacing w:after="200" w:line="276" w:lineRule="auto"/>
        <w:ind w:hanging="650"/>
        <w:contextualSpacing/>
        <w:jc w:val="both"/>
        <w:rPr>
          <w:rFonts w:ascii="Arial" w:eastAsia="Calibri" w:hAnsi="Arial" w:cs="Arial"/>
          <w:sz w:val="22"/>
          <w:szCs w:val="22"/>
          <w:lang w:val="en-GB"/>
        </w:rPr>
      </w:pPr>
      <w:r>
        <w:rPr>
          <w:rFonts w:ascii="Arial" w:eastAsia="Calibri" w:hAnsi="Arial" w:cs="Arial"/>
          <w:sz w:val="22"/>
          <w:szCs w:val="22"/>
          <w:lang w:val="en-GB"/>
        </w:rPr>
        <w:t>Continue to support the ongoing development of the Staff Ability Network</w:t>
      </w:r>
      <w:r w:rsidR="002E75FE">
        <w:rPr>
          <w:rFonts w:ascii="Arial" w:eastAsia="Calibri" w:hAnsi="Arial" w:cs="Arial"/>
          <w:sz w:val="22"/>
          <w:szCs w:val="22"/>
          <w:lang w:val="en-GB"/>
        </w:rPr>
        <w:t>.</w:t>
      </w:r>
    </w:p>
    <w:p w14:paraId="3DE485CB" w14:textId="77777777" w:rsidR="00AB0479" w:rsidRDefault="00AB0479" w:rsidP="00AB0479">
      <w:pPr>
        <w:pStyle w:val="ListParagraph"/>
        <w:rPr>
          <w:rFonts w:ascii="Arial" w:eastAsia="Calibri" w:hAnsi="Arial" w:cs="Arial"/>
          <w:sz w:val="22"/>
          <w:szCs w:val="22"/>
          <w:lang w:val="en-GB"/>
        </w:rPr>
      </w:pPr>
    </w:p>
    <w:p w14:paraId="7654649E" w14:textId="03C7BBA7" w:rsidR="00776ED6" w:rsidRDefault="00AB0479" w:rsidP="00AB0479">
      <w:pPr>
        <w:spacing w:after="200" w:line="276" w:lineRule="auto"/>
        <w:contextualSpacing/>
        <w:jc w:val="both"/>
        <w:rPr>
          <w:rFonts w:ascii="Arial" w:eastAsia="Calibri" w:hAnsi="Arial" w:cs="Arial"/>
          <w:sz w:val="22"/>
          <w:szCs w:val="22"/>
          <w:lang w:val="en-GB"/>
        </w:rPr>
      </w:pPr>
      <w:r>
        <w:rPr>
          <w:rFonts w:ascii="Arial" w:eastAsia="Calibri" w:hAnsi="Arial" w:cs="Arial"/>
          <w:sz w:val="22"/>
          <w:szCs w:val="22"/>
          <w:lang w:val="en-GB"/>
        </w:rPr>
        <w:t>Paul Sukhu, Deputy Director of Workforce</w:t>
      </w:r>
    </w:p>
    <w:p w14:paraId="193920AB" w14:textId="77777777" w:rsidR="003F19D4" w:rsidRDefault="003F19D4" w:rsidP="00AB0479">
      <w:pPr>
        <w:spacing w:after="200" w:line="276" w:lineRule="auto"/>
        <w:contextualSpacing/>
        <w:jc w:val="both"/>
        <w:rPr>
          <w:rFonts w:ascii="Arial" w:eastAsia="Calibri" w:hAnsi="Arial" w:cs="Arial"/>
          <w:sz w:val="22"/>
          <w:szCs w:val="22"/>
          <w:lang w:val="en-GB"/>
        </w:rPr>
      </w:pPr>
    </w:p>
    <w:p w14:paraId="6DC86068" w14:textId="5E41B13C" w:rsidR="00AB0479" w:rsidRPr="00AB0479" w:rsidRDefault="00776ED6" w:rsidP="00AB0479">
      <w:pPr>
        <w:spacing w:after="200" w:line="276" w:lineRule="auto"/>
        <w:contextualSpacing/>
        <w:jc w:val="both"/>
        <w:rPr>
          <w:rFonts w:ascii="Arial" w:eastAsia="Calibri" w:hAnsi="Arial" w:cs="Arial"/>
          <w:sz w:val="22"/>
          <w:szCs w:val="22"/>
          <w:lang w:val="en-GB"/>
        </w:rPr>
      </w:pPr>
      <w:r>
        <w:rPr>
          <w:rFonts w:ascii="Arial" w:eastAsia="Calibri" w:hAnsi="Arial" w:cs="Arial"/>
          <w:sz w:val="22"/>
          <w:szCs w:val="22"/>
          <w:lang w:val="en-GB"/>
        </w:rPr>
        <w:t>21 July 2021</w:t>
      </w:r>
    </w:p>
    <w:sectPr w:rsidR="00AB0479" w:rsidRPr="00AB0479" w:rsidSect="00910A7C">
      <w:footerReference w:type="default" r:id="rId10"/>
      <w:headerReference w:type="first" r:id="rId11"/>
      <w:footerReference w:type="first" r:id="rId12"/>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23C5" w14:textId="77777777" w:rsidR="00094961" w:rsidRDefault="00094961" w:rsidP="004C67ED">
      <w:r>
        <w:separator/>
      </w:r>
    </w:p>
  </w:endnote>
  <w:endnote w:type="continuationSeparator" w:id="0">
    <w:p w14:paraId="3BC23C03" w14:textId="77777777" w:rsidR="00094961" w:rsidRDefault="00094961" w:rsidP="004C67ED">
      <w:r>
        <w:continuationSeparator/>
      </w:r>
    </w:p>
  </w:endnote>
  <w:endnote w:type="continuationNotice" w:id="1">
    <w:p w14:paraId="7EF1CA6E" w14:textId="77777777" w:rsidR="00094961" w:rsidRDefault="00094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F2E1" w14:textId="77777777" w:rsidR="001216DD" w:rsidRDefault="001216DD">
    <w:pPr>
      <w:pStyle w:val="Footer"/>
    </w:pPr>
    <w:r>
      <w:rPr>
        <w:noProof/>
        <w:lang w:val="en-GB" w:eastAsia="en-GB"/>
      </w:rPr>
      <w:drawing>
        <wp:anchor distT="0" distB="0" distL="114300" distR="114300" simplePos="0" relativeHeight="251658242" behindDoc="1" locked="0" layoutInCell="1" allowOverlap="1" wp14:anchorId="40B002E8" wp14:editId="6AB69AB6">
          <wp:simplePos x="0" y="0"/>
          <wp:positionH relativeFrom="page">
            <wp:align>left</wp:align>
          </wp:positionH>
          <wp:positionV relativeFrom="paragraph">
            <wp:posOffset>-313055</wp:posOffset>
          </wp:positionV>
          <wp:extent cx="7625080" cy="4324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thin footer.jpg"/>
                  <pic:cNvPicPr/>
                </pic:nvPicPr>
                <pic:blipFill>
                  <a:blip r:embed="rId1">
                    <a:extLst>
                      <a:ext uri="{28A0092B-C50C-407E-A947-70E740481C1C}">
                        <a14:useLocalDpi xmlns:a14="http://schemas.microsoft.com/office/drawing/2010/main" val="0"/>
                      </a:ext>
                    </a:extLst>
                  </a:blip>
                  <a:stretch>
                    <a:fillRect/>
                  </a:stretch>
                </pic:blipFill>
                <pic:spPr>
                  <a:xfrm>
                    <a:off x="0" y="0"/>
                    <a:ext cx="7625080" cy="4324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51DC" w14:textId="6FC4EEDE" w:rsidR="001216DD" w:rsidRDefault="007A25C4">
    <w:pPr>
      <w:pStyle w:val="Footer"/>
    </w:pPr>
    <w:r>
      <w:rPr>
        <w:noProof/>
        <w:lang w:val="en-GB" w:eastAsia="en-GB"/>
      </w:rPr>
      <w:drawing>
        <wp:anchor distT="0" distB="0" distL="114300" distR="114300" simplePos="0" relativeHeight="251660290" behindDoc="1" locked="0" layoutInCell="1" allowOverlap="1" wp14:anchorId="710CC065" wp14:editId="7787CAE3">
          <wp:simplePos x="0" y="0"/>
          <wp:positionH relativeFrom="page">
            <wp:align>left</wp:align>
          </wp:positionH>
          <wp:positionV relativeFrom="paragraph">
            <wp:posOffset>-438785</wp:posOffset>
          </wp:positionV>
          <wp:extent cx="7625080" cy="4324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thin footer.jpg"/>
                  <pic:cNvPicPr/>
                </pic:nvPicPr>
                <pic:blipFill>
                  <a:blip r:embed="rId1">
                    <a:extLst>
                      <a:ext uri="{28A0092B-C50C-407E-A947-70E740481C1C}">
                        <a14:useLocalDpi xmlns:a14="http://schemas.microsoft.com/office/drawing/2010/main" val="0"/>
                      </a:ext>
                    </a:extLst>
                  </a:blip>
                  <a:stretch>
                    <a:fillRect/>
                  </a:stretch>
                </pic:blipFill>
                <pic:spPr>
                  <a:xfrm>
                    <a:off x="0" y="0"/>
                    <a:ext cx="7625080" cy="4324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5F7E1" w14:textId="77777777" w:rsidR="00094961" w:rsidRDefault="00094961" w:rsidP="004C67ED">
      <w:r>
        <w:separator/>
      </w:r>
    </w:p>
  </w:footnote>
  <w:footnote w:type="continuationSeparator" w:id="0">
    <w:p w14:paraId="0CE2265C" w14:textId="77777777" w:rsidR="00094961" w:rsidRDefault="00094961" w:rsidP="004C67ED">
      <w:r>
        <w:continuationSeparator/>
      </w:r>
    </w:p>
  </w:footnote>
  <w:footnote w:type="continuationNotice" w:id="1">
    <w:p w14:paraId="52946B8A" w14:textId="77777777" w:rsidR="00094961" w:rsidRDefault="00094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C83F" w14:textId="77777777" w:rsidR="001216DD" w:rsidRDefault="001216DD">
    <w:pPr>
      <w:pStyle w:val="Header"/>
    </w:pPr>
    <w:r>
      <w:rPr>
        <w:noProof/>
        <w:lang w:val="en-GB" w:eastAsia="en-GB"/>
      </w:rPr>
      <w:drawing>
        <wp:anchor distT="0" distB="0" distL="114300" distR="114300" simplePos="0" relativeHeight="251658240" behindDoc="1" locked="0" layoutInCell="1" allowOverlap="1" wp14:anchorId="459A5926" wp14:editId="7F8213BA">
          <wp:simplePos x="0" y="0"/>
          <wp:positionH relativeFrom="column">
            <wp:posOffset>-900430</wp:posOffset>
          </wp:positionH>
          <wp:positionV relativeFrom="paragraph">
            <wp:posOffset>2540</wp:posOffset>
          </wp:positionV>
          <wp:extent cx="7559675" cy="1233805"/>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A4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233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5BEF"/>
    <w:multiLevelType w:val="hybridMultilevel"/>
    <w:tmpl w:val="56C4F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916908"/>
    <w:multiLevelType w:val="multilevel"/>
    <w:tmpl w:val="60AAAF72"/>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AD0BFB"/>
    <w:multiLevelType w:val="hybridMultilevel"/>
    <w:tmpl w:val="3000D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DA2F4E"/>
    <w:multiLevelType w:val="hybridMultilevel"/>
    <w:tmpl w:val="F50C6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1BF18D8"/>
    <w:multiLevelType w:val="multilevel"/>
    <w:tmpl w:val="60AAAF72"/>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5B1697"/>
    <w:multiLevelType w:val="multilevel"/>
    <w:tmpl w:val="C4441812"/>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bullet"/>
      <w:lvlText w:val=""/>
      <w:lvlJc w:val="left"/>
      <w:pPr>
        <w:ind w:left="1224" w:hanging="504"/>
      </w:pPr>
      <w:rPr>
        <w:rFonts w:ascii="Symbol" w:hAnsi="Symbol" w:hint="default"/>
      </w:r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6C1E68"/>
    <w:multiLevelType w:val="hybridMultilevel"/>
    <w:tmpl w:val="013CA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1D3BB8"/>
    <w:multiLevelType w:val="multilevel"/>
    <w:tmpl w:val="61BA8084"/>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F46324"/>
    <w:multiLevelType w:val="hybridMultilevel"/>
    <w:tmpl w:val="659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A4A35"/>
    <w:multiLevelType w:val="hybridMultilevel"/>
    <w:tmpl w:val="A634C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9"/>
  </w:num>
  <w:num w:numId="6">
    <w:abstractNumId w:val="4"/>
  </w:num>
  <w:num w:numId="7">
    <w:abstractNumId w:val="2"/>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ED"/>
    <w:rsid w:val="0000255E"/>
    <w:rsid w:val="0000597C"/>
    <w:rsid w:val="00006559"/>
    <w:rsid w:val="00011B92"/>
    <w:rsid w:val="0001230F"/>
    <w:rsid w:val="00015DC6"/>
    <w:rsid w:val="00016171"/>
    <w:rsid w:val="00016667"/>
    <w:rsid w:val="00021A70"/>
    <w:rsid w:val="000306FA"/>
    <w:rsid w:val="0003145E"/>
    <w:rsid w:val="000332A6"/>
    <w:rsid w:val="00036BBE"/>
    <w:rsid w:val="00036E5C"/>
    <w:rsid w:val="0004409D"/>
    <w:rsid w:val="00047988"/>
    <w:rsid w:val="000512B7"/>
    <w:rsid w:val="00075237"/>
    <w:rsid w:val="00076B5C"/>
    <w:rsid w:val="00080B35"/>
    <w:rsid w:val="0008290C"/>
    <w:rsid w:val="00084DF8"/>
    <w:rsid w:val="0008520D"/>
    <w:rsid w:val="00094961"/>
    <w:rsid w:val="000A2122"/>
    <w:rsid w:val="000A3171"/>
    <w:rsid w:val="000B1D89"/>
    <w:rsid w:val="000B7701"/>
    <w:rsid w:val="000C1393"/>
    <w:rsid w:val="000C7915"/>
    <w:rsid w:val="000D300D"/>
    <w:rsid w:val="000E180A"/>
    <w:rsid w:val="000E1812"/>
    <w:rsid w:val="000F63AB"/>
    <w:rsid w:val="00102FA8"/>
    <w:rsid w:val="00105F96"/>
    <w:rsid w:val="00106F8C"/>
    <w:rsid w:val="00110C73"/>
    <w:rsid w:val="00115AAD"/>
    <w:rsid w:val="001214C2"/>
    <w:rsid w:val="001216DD"/>
    <w:rsid w:val="00123C8F"/>
    <w:rsid w:val="00124320"/>
    <w:rsid w:val="00124838"/>
    <w:rsid w:val="0012609A"/>
    <w:rsid w:val="00130144"/>
    <w:rsid w:val="00131000"/>
    <w:rsid w:val="00132828"/>
    <w:rsid w:val="00133B0D"/>
    <w:rsid w:val="00142137"/>
    <w:rsid w:val="00144230"/>
    <w:rsid w:val="00144289"/>
    <w:rsid w:val="0015137E"/>
    <w:rsid w:val="00161A3B"/>
    <w:rsid w:val="00166904"/>
    <w:rsid w:val="001719D1"/>
    <w:rsid w:val="0017383F"/>
    <w:rsid w:val="00173A66"/>
    <w:rsid w:val="00177B23"/>
    <w:rsid w:val="00185E5C"/>
    <w:rsid w:val="00191B5F"/>
    <w:rsid w:val="00193D78"/>
    <w:rsid w:val="00196E54"/>
    <w:rsid w:val="001A405B"/>
    <w:rsid w:val="001B4632"/>
    <w:rsid w:val="001C2419"/>
    <w:rsid w:val="001C32CA"/>
    <w:rsid w:val="001C570E"/>
    <w:rsid w:val="001C67A5"/>
    <w:rsid w:val="001D16E3"/>
    <w:rsid w:val="001D58D5"/>
    <w:rsid w:val="001D5F49"/>
    <w:rsid w:val="001D6708"/>
    <w:rsid w:val="001E093B"/>
    <w:rsid w:val="001E3E36"/>
    <w:rsid w:val="001E7287"/>
    <w:rsid w:val="001E729E"/>
    <w:rsid w:val="001F58A0"/>
    <w:rsid w:val="002052D0"/>
    <w:rsid w:val="00213C5D"/>
    <w:rsid w:val="0021405C"/>
    <w:rsid w:val="00214F39"/>
    <w:rsid w:val="002245AA"/>
    <w:rsid w:val="002257E2"/>
    <w:rsid w:val="00225FF8"/>
    <w:rsid w:val="002326E5"/>
    <w:rsid w:val="00235CDC"/>
    <w:rsid w:val="00237F9F"/>
    <w:rsid w:val="00241A41"/>
    <w:rsid w:val="00242E96"/>
    <w:rsid w:val="002440DD"/>
    <w:rsid w:val="0024658D"/>
    <w:rsid w:val="0024793B"/>
    <w:rsid w:val="00261D57"/>
    <w:rsid w:val="002628BA"/>
    <w:rsid w:val="00266A17"/>
    <w:rsid w:val="00274EAC"/>
    <w:rsid w:val="0027686B"/>
    <w:rsid w:val="00281529"/>
    <w:rsid w:val="00284D03"/>
    <w:rsid w:val="00290B99"/>
    <w:rsid w:val="0029388B"/>
    <w:rsid w:val="0029548D"/>
    <w:rsid w:val="002A6FDC"/>
    <w:rsid w:val="002B16F3"/>
    <w:rsid w:val="002B386E"/>
    <w:rsid w:val="002B6879"/>
    <w:rsid w:val="002C3701"/>
    <w:rsid w:val="002C590D"/>
    <w:rsid w:val="002C5F9B"/>
    <w:rsid w:val="002C6344"/>
    <w:rsid w:val="002C66FE"/>
    <w:rsid w:val="002E04C9"/>
    <w:rsid w:val="002E4AAF"/>
    <w:rsid w:val="002E75EB"/>
    <w:rsid w:val="002E75FE"/>
    <w:rsid w:val="002F0445"/>
    <w:rsid w:val="002F6F5E"/>
    <w:rsid w:val="00301673"/>
    <w:rsid w:val="00307AB4"/>
    <w:rsid w:val="00312653"/>
    <w:rsid w:val="00315DE8"/>
    <w:rsid w:val="003232EA"/>
    <w:rsid w:val="0032584F"/>
    <w:rsid w:val="003259D4"/>
    <w:rsid w:val="00341A1C"/>
    <w:rsid w:val="0034611B"/>
    <w:rsid w:val="00350739"/>
    <w:rsid w:val="00351428"/>
    <w:rsid w:val="00354998"/>
    <w:rsid w:val="00356634"/>
    <w:rsid w:val="00377E77"/>
    <w:rsid w:val="00377F37"/>
    <w:rsid w:val="00377F42"/>
    <w:rsid w:val="00396CD4"/>
    <w:rsid w:val="00397801"/>
    <w:rsid w:val="003B2363"/>
    <w:rsid w:val="003B42A5"/>
    <w:rsid w:val="003B592A"/>
    <w:rsid w:val="003B5D45"/>
    <w:rsid w:val="003B6A4A"/>
    <w:rsid w:val="003C1CA4"/>
    <w:rsid w:val="003D0765"/>
    <w:rsid w:val="003D13E7"/>
    <w:rsid w:val="003E5212"/>
    <w:rsid w:val="003E559B"/>
    <w:rsid w:val="003E7640"/>
    <w:rsid w:val="003F19D4"/>
    <w:rsid w:val="003F523E"/>
    <w:rsid w:val="00403AE1"/>
    <w:rsid w:val="00412F6A"/>
    <w:rsid w:val="00414552"/>
    <w:rsid w:val="00422FB2"/>
    <w:rsid w:val="00426AA5"/>
    <w:rsid w:val="004363F1"/>
    <w:rsid w:val="00444CAB"/>
    <w:rsid w:val="0044642B"/>
    <w:rsid w:val="00450664"/>
    <w:rsid w:val="004618C8"/>
    <w:rsid w:val="00467A3E"/>
    <w:rsid w:val="00473DCB"/>
    <w:rsid w:val="004817BD"/>
    <w:rsid w:val="00485F9B"/>
    <w:rsid w:val="004937AC"/>
    <w:rsid w:val="004A2428"/>
    <w:rsid w:val="004A6D89"/>
    <w:rsid w:val="004B5D4B"/>
    <w:rsid w:val="004B7DA5"/>
    <w:rsid w:val="004C1049"/>
    <w:rsid w:val="004C67ED"/>
    <w:rsid w:val="004D0312"/>
    <w:rsid w:val="004D5E53"/>
    <w:rsid w:val="004E4329"/>
    <w:rsid w:val="004E5F7A"/>
    <w:rsid w:val="004E6436"/>
    <w:rsid w:val="004E730D"/>
    <w:rsid w:val="004F4ECE"/>
    <w:rsid w:val="005053E5"/>
    <w:rsid w:val="00505780"/>
    <w:rsid w:val="0050726B"/>
    <w:rsid w:val="00511DCA"/>
    <w:rsid w:val="005151DE"/>
    <w:rsid w:val="0051790D"/>
    <w:rsid w:val="00522087"/>
    <w:rsid w:val="00522E7A"/>
    <w:rsid w:val="00522F6E"/>
    <w:rsid w:val="00531C5F"/>
    <w:rsid w:val="005338B0"/>
    <w:rsid w:val="00536ED0"/>
    <w:rsid w:val="00544664"/>
    <w:rsid w:val="00556EC9"/>
    <w:rsid w:val="0056517A"/>
    <w:rsid w:val="00593D57"/>
    <w:rsid w:val="00594066"/>
    <w:rsid w:val="005A026D"/>
    <w:rsid w:val="005A35C1"/>
    <w:rsid w:val="005A72B1"/>
    <w:rsid w:val="005A7505"/>
    <w:rsid w:val="005B4C0F"/>
    <w:rsid w:val="005B5769"/>
    <w:rsid w:val="005B61C3"/>
    <w:rsid w:val="005D3108"/>
    <w:rsid w:val="005E4F68"/>
    <w:rsid w:val="0060566B"/>
    <w:rsid w:val="006071F4"/>
    <w:rsid w:val="00607747"/>
    <w:rsid w:val="0061230C"/>
    <w:rsid w:val="00613BB2"/>
    <w:rsid w:val="00620BEE"/>
    <w:rsid w:val="0062318D"/>
    <w:rsid w:val="00637F85"/>
    <w:rsid w:val="00640B74"/>
    <w:rsid w:val="00646312"/>
    <w:rsid w:val="006622DB"/>
    <w:rsid w:val="006647F7"/>
    <w:rsid w:val="00664E07"/>
    <w:rsid w:val="00667982"/>
    <w:rsid w:val="0067304E"/>
    <w:rsid w:val="00686590"/>
    <w:rsid w:val="00690190"/>
    <w:rsid w:val="00696DC8"/>
    <w:rsid w:val="006A17E0"/>
    <w:rsid w:val="006A64D9"/>
    <w:rsid w:val="006B0867"/>
    <w:rsid w:val="006B598B"/>
    <w:rsid w:val="006C7AE8"/>
    <w:rsid w:val="006D25F3"/>
    <w:rsid w:val="006D2B1E"/>
    <w:rsid w:val="006D60F2"/>
    <w:rsid w:val="006E6DFE"/>
    <w:rsid w:val="006F3E88"/>
    <w:rsid w:val="00716AEF"/>
    <w:rsid w:val="007224F1"/>
    <w:rsid w:val="00723829"/>
    <w:rsid w:val="00744E5E"/>
    <w:rsid w:val="00747E16"/>
    <w:rsid w:val="007551D4"/>
    <w:rsid w:val="00756E45"/>
    <w:rsid w:val="0076764F"/>
    <w:rsid w:val="00771762"/>
    <w:rsid w:val="00772DCC"/>
    <w:rsid w:val="00776ED6"/>
    <w:rsid w:val="00777D9A"/>
    <w:rsid w:val="007841E7"/>
    <w:rsid w:val="007915E8"/>
    <w:rsid w:val="007A25C4"/>
    <w:rsid w:val="007A58A1"/>
    <w:rsid w:val="007A6494"/>
    <w:rsid w:val="007B3F6E"/>
    <w:rsid w:val="007B5692"/>
    <w:rsid w:val="007B7558"/>
    <w:rsid w:val="007B7922"/>
    <w:rsid w:val="007C2816"/>
    <w:rsid w:val="007D60C0"/>
    <w:rsid w:val="007F3F24"/>
    <w:rsid w:val="007F43D7"/>
    <w:rsid w:val="007F4971"/>
    <w:rsid w:val="00804ACB"/>
    <w:rsid w:val="00815281"/>
    <w:rsid w:val="008229FD"/>
    <w:rsid w:val="00822E06"/>
    <w:rsid w:val="008315C8"/>
    <w:rsid w:val="00840513"/>
    <w:rsid w:val="00844B4C"/>
    <w:rsid w:val="008454F3"/>
    <w:rsid w:val="00886E39"/>
    <w:rsid w:val="00887025"/>
    <w:rsid w:val="008943EB"/>
    <w:rsid w:val="008A0554"/>
    <w:rsid w:val="008B5AF8"/>
    <w:rsid w:val="008C4C63"/>
    <w:rsid w:val="008C59CB"/>
    <w:rsid w:val="008C5D50"/>
    <w:rsid w:val="008D32DF"/>
    <w:rsid w:val="008D505D"/>
    <w:rsid w:val="008D5C0A"/>
    <w:rsid w:val="008E66EE"/>
    <w:rsid w:val="008E6EED"/>
    <w:rsid w:val="008E7B88"/>
    <w:rsid w:val="008F499F"/>
    <w:rsid w:val="00900563"/>
    <w:rsid w:val="00902380"/>
    <w:rsid w:val="00910A7C"/>
    <w:rsid w:val="0092049A"/>
    <w:rsid w:val="00922AE7"/>
    <w:rsid w:val="009258A7"/>
    <w:rsid w:val="009279F0"/>
    <w:rsid w:val="00935173"/>
    <w:rsid w:val="00942052"/>
    <w:rsid w:val="00946038"/>
    <w:rsid w:val="009607E1"/>
    <w:rsid w:val="00960820"/>
    <w:rsid w:val="009706AE"/>
    <w:rsid w:val="00986912"/>
    <w:rsid w:val="009875B1"/>
    <w:rsid w:val="00991972"/>
    <w:rsid w:val="00996711"/>
    <w:rsid w:val="009967F5"/>
    <w:rsid w:val="0099798D"/>
    <w:rsid w:val="00997E34"/>
    <w:rsid w:val="009B54C4"/>
    <w:rsid w:val="009B717B"/>
    <w:rsid w:val="009C113F"/>
    <w:rsid w:val="009D75B1"/>
    <w:rsid w:val="009E5D82"/>
    <w:rsid w:val="009F0E9B"/>
    <w:rsid w:val="00A01A52"/>
    <w:rsid w:val="00A2010B"/>
    <w:rsid w:val="00A21403"/>
    <w:rsid w:val="00A23C62"/>
    <w:rsid w:val="00A37D8E"/>
    <w:rsid w:val="00A4108C"/>
    <w:rsid w:val="00A46613"/>
    <w:rsid w:val="00A52B55"/>
    <w:rsid w:val="00A648CF"/>
    <w:rsid w:val="00A67DE0"/>
    <w:rsid w:val="00A726FF"/>
    <w:rsid w:val="00A72D3D"/>
    <w:rsid w:val="00A90F16"/>
    <w:rsid w:val="00AA128B"/>
    <w:rsid w:val="00AA2543"/>
    <w:rsid w:val="00AA4134"/>
    <w:rsid w:val="00AA41AE"/>
    <w:rsid w:val="00AA7A8D"/>
    <w:rsid w:val="00AB0479"/>
    <w:rsid w:val="00AC4A1B"/>
    <w:rsid w:val="00AE232D"/>
    <w:rsid w:val="00AE3F2F"/>
    <w:rsid w:val="00AE6ECC"/>
    <w:rsid w:val="00AF2068"/>
    <w:rsid w:val="00AF2BEB"/>
    <w:rsid w:val="00AF433D"/>
    <w:rsid w:val="00AF4864"/>
    <w:rsid w:val="00AF68F1"/>
    <w:rsid w:val="00B00C5F"/>
    <w:rsid w:val="00B028F4"/>
    <w:rsid w:val="00B05D23"/>
    <w:rsid w:val="00B072B3"/>
    <w:rsid w:val="00B13301"/>
    <w:rsid w:val="00B21501"/>
    <w:rsid w:val="00B22873"/>
    <w:rsid w:val="00B255F4"/>
    <w:rsid w:val="00B25DD8"/>
    <w:rsid w:val="00B30274"/>
    <w:rsid w:val="00B325A6"/>
    <w:rsid w:val="00B37C21"/>
    <w:rsid w:val="00B423CA"/>
    <w:rsid w:val="00B4345C"/>
    <w:rsid w:val="00B4568C"/>
    <w:rsid w:val="00B459B1"/>
    <w:rsid w:val="00B5374E"/>
    <w:rsid w:val="00B57717"/>
    <w:rsid w:val="00B73FBC"/>
    <w:rsid w:val="00BA14A7"/>
    <w:rsid w:val="00BA782E"/>
    <w:rsid w:val="00BC454B"/>
    <w:rsid w:val="00BD297F"/>
    <w:rsid w:val="00BD2EA5"/>
    <w:rsid w:val="00BD6288"/>
    <w:rsid w:val="00BE07D9"/>
    <w:rsid w:val="00BE2A93"/>
    <w:rsid w:val="00BF6D54"/>
    <w:rsid w:val="00BF73B2"/>
    <w:rsid w:val="00C06A50"/>
    <w:rsid w:val="00C108DF"/>
    <w:rsid w:val="00C1448C"/>
    <w:rsid w:val="00C21D12"/>
    <w:rsid w:val="00C265F1"/>
    <w:rsid w:val="00C42C8A"/>
    <w:rsid w:val="00C46A1F"/>
    <w:rsid w:val="00C4741D"/>
    <w:rsid w:val="00C50B5B"/>
    <w:rsid w:val="00C60FAA"/>
    <w:rsid w:val="00C706FF"/>
    <w:rsid w:val="00C7244E"/>
    <w:rsid w:val="00C77F1F"/>
    <w:rsid w:val="00C8246D"/>
    <w:rsid w:val="00C84955"/>
    <w:rsid w:val="00C85E6D"/>
    <w:rsid w:val="00C92707"/>
    <w:rsid w:val="00C936A6"/>
    <w:rsid w:val="00C97B3D"/>
    <w:rsid w:val="00CA06D9"/>
    <w:rsid w:val="00CA605C"/>
    <w:rsid w:val="00CA6082"/>
    <w:rsid w:val="00CA7018"/>
    <w:rsid w:val="00CA759B"/>
    <w:rsid w:val="00CB0BCB"/>
    <w:rsid w:val="00CB254A"/>
    <w:rsid w:val="00CC0A74"/>
    <w:rsid w:val="00CD1416"/>
    <w:rsid w:val="00CD538F"/>
    <w:rsid w:val="00D00C17"/>
    <w:rsid w:val="00D01FB3"/>
    <w:rsid w:val="00D0376A"/>
    <w:rsid w:val="00D04258"/>
    <w:rsid w:val="00D134DA"/>
    <w:rsid w:val="00D22700"/>
    <w:rsid w:val="00D27771"/>
    <w:rsid w:val="00D5015F"/>
    <w:rsid w:val="00D63B0A"/>
    <w:rsid w:val="00D64636"/>
    <w:rsid w:val="00D66F92"/>
    <w:rsid w:val="00D71940"/>
    <w:rsid w:val="00D73EF8"/>
    <w:rsid w:val="00D8025C"/>
    <w:rsid w:val="00D810F3"/>
    <w:rsid w:val="00D87670"/>
    <w:rsid w:val="00D90090"/>
    <w:rsid w:val="00D935DD"/>
    <w:rsid w:val="00D97285"/>
    <w:rsid w:val="00DA3370"/>
    <w:rsid w:val="00DB4848"/>
    <w:rsid w:val="00DB73C7"/>
    <w:rsid w:val="00DC1B93"/>
    <w:rsid w:val="00DC2C91"/>
    <w:rsid w:val="00DC4C0E"/>
    <w:rsid w:val="00DC5747"/>
    <w:rsid w:val="00DC57E9"/>
    <w:rsid w:val="00DC677F"/>
    <w:rsid w:val="00DC7EB0"/>
    <w:rsid w:val="00DD238F"/>
    <w:rsid w:val="00DE0C90"/>
    <w:rsid w:val="00DF40F0"/>
    <w:rsid w:val="00DF750D"/>
    <w:rsid w:val="00E02BF4"/>
    <w:rsid w:val="00E042FF"/>
    <w:rsid w:val="00E06F07"/>
    <w:rsid w:val="00E127F6"/>
    <w:rsid w:val="00E14773"/>
    <w:rsid w:val="00E34FE3"/>
    <w:rsid w:val="00E401B7"/>
    <w:rsid w:val="00E42E71"/>
    <w:rsid w:val="00E46785"/>
    <w:rsid w:val="00E47CAD"/>
    <w:rsid w:val="00E5050C"/>
    <w:rsid w:val="00E512DB"/>
    <w:rsid w:val="00E54B2D"/>
    <w:rsid w:val="00E55FE3"/>
    <w:rsid w:val="00E562EE"/>
    <w:rsid w:val="00E63B9B"/>
    <w:rsid w:val="00E67A7A"/>
    <w:rsid w:val="00E7071B"/>
    <w:rsid w:val="00E7301E"/>
    <w:rsid w:val="00E753DD"/>
    <w:rsid w:val="00E7705B"/>
    <w:rsid w:val="00E8114D"/>
    <w:rsid w:val="00E86629"/>
    <w:rsid w:val="00E8770C"/>
    <w:rsid w:val="00EA1462"/>
    <w:rsid w:val="00EA1570"/>
    <w:rsid w:val="00EA2E43"/>
    <w:rsid w:val="00EC0E71"/>
    <w:rsid w:val="00EC1772"/>
    <w:rsid w:val="00EC78D0"/>
    <w:rsid w:val="00ED0E7F"/>
    <w:rsid w:val="00ED1207"/>
    <w:rsid w:val="00ED28BF"/>
    <w:rsid w:val="00EE0066"/>
    <w:rsid w:val="00EE2EC2"/>
    <w:rsid w:val="00EE33C0"/>
    <w:rsid w:val="00EE6FDE"/>
    <w:rsid w:val="00EE7D37"/>
    <w:rsid w:val="00EF3DB4"/>
    <w:rsid w:val="00EF4DB2"/>
    <w:rsid w:val="00EF6AF2"/>
    <w:rsid w:val="00EF6C42"/>
    <w:rsid w:val="00F01565"/>
    <w:rsid w:val="00F01D0C"/>
    <w:rsid w:val="00F1031C"/>
    <w:rsid w:val="00F15264"/>
    <w:rsid w:val="00F23736"/>
    <w:rsid w:val="00F317A2"/>
    <w:rsid w:val="00F4217D"/>
    <w:rsid w:val="00F42DBE"/>
    <w:rsid w:val="00F526CD"/>
    <w:rsid w:val="00F5331B"/>
    <w:rsid w:val="00F57425"/>
    <w:rsid w:val="00F642FA"/>
    <w:rsid w:val="00F72096"/>
    <w:rsid w:val="00F75A8D"/>
    <w:rsid w:val="00F81880"/>
    <w:rsid w:val="00FA422A"/>
    <w:rsid w:val="00FA64B3"/>
    <w:rsid w:val="00FC6C17"/>
    <w:rsid w:val="00FC6EF5"/>
    <w:rsid w:val="00FD496E"/>
    <w:rsid w:val="00FE071C"/>
    <w:rsid w:val="00FE5F42"/>
    <w:rsid w:val="00FF1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B48713"/>
  <w14:defaultImageDpi w14:val="300"/>
  <w15:docId w15:val="{D7B34F24-7184-42D6-990F-8AC2DBAB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01"/>
  </w:style>
  <w:style w:type="paragraph" w:styleId="Heading2">
    <w:name w:val="heading 2"/>
    <w:basedOn w:val="Normal"/>
    <w:next w:val="Normal"/>
    <w:link w:val="Heading2Char"/>
    <w:uiPriority w:val="9"/>
    <w:unhideWhenUsed/>
    <w:qFormat/>
    <w:rsid w:val="00115A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character" w:customStyle="1" w:styleId="Heading2Char">
    <w:name w:val="Heading 2 Char"/>
    <w:basedOn w:val="DefaultParagraphFont"/>
    <w:link w:val="Heading2"/>
    <w:uiPriority w:val="9"/>
    <w:rsid w:val="00115AA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12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80A"/>
    <w:pPr>
      <w:ind w:left="720"/>
      <w:contextualSpacing/>
    </w:pPr>
  </w:style>
  <w:style w:type="table" w:customStyle="1" w:styleId="TableGrid1">
    <w:name w:val="Table Grid1"/>
    <w:basedOn w:val="TableNormal"/>
    <w:next w:val="TableGrid"/>
    <w:uiPriority w:val="59"/>
    <w:rsid w:val="00664E0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4ECE"/>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653"/>
    <w:pPr>
      <w:autoSpaceDE w:val="0"/>
      <w:autoSpaceDN w:val="0"/>
      <w:adjustRightInd w:val="0"/>
    </w:pPr>
    <w:rPr>
      <w:rFonts w:ascii="Arial" w:eastAsiaTheme="minorHAns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096">
      <w:bodyDiv w:val="1"/>
      <w:marLeft w:val="0"/>
      <w:marRight w:val="0"/>
      <w:marTop w:val="0"/>
      <w:marBottom w:val="0"/>
      <w:divBdr>
        <w:top w:val="none" w:sz="0" w:space="0" w:color="auto"/>
        <w:left w:val="none" w:sz="0" w:space="0" w:color="auto"/>
        <w:bottom w:val="none" w:sz="0" w:space="0" w:color="auto"/>
        <w:right w:val="none" w:sz="0" w:space="0" w:color="auto"/>
      </w:divBdr>
    </w:div>
    <w:div w:id="412969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4448E6AF66D4EB2F97C649CADCF24" ma:contentTypeVersion="10" ma:contentTypeDescription="Create a new document." ma:contentTypeScope="" ma:versionID="06f60d5de5c971597a0d0e56d188748b">
  <xsd:schema xmlns:xsd="http://www.w3.org/2001/XMLSchema" xmlns:xs="http://www.w3.org/2001/XMLSchema" xmlns:p="http://schemas.microsoft.com/office/2006/metadata/properties" xmlns:ns3="a267204f-9c9d-4dab-9f09-5ee10f5616a8" targetNamespace="http://schemas.microsoft.com/office/2006/metadata/properties" ma:root="true" ma:fieldsID="170d7f6fff294fcd7e285160a4f49a30" ns3:_="">
    <xsd:import namespace="a267204f-9c9d-4dab-9f09-5ee10f5616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7204f-9c9d-4dab-9f09-5ee10f561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1BF4F-6B42-4403-AB76-A881D3C3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7204f-9c9d-4dab-9f09-5ee10f561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85119-02E9-4537-AEC0-FF738190E09C}">
  <ds:schemaRefs>
    <ds:schemaRef ds:uri="http://schemas.microsoft.com/sharepoint/v3/contenttype/forms"/>
  </ds:schemaRefs>
</ds:datastoreItem>
</file>

<file path=customXml/itemProps3.xml><?xml version="1.0" encoding="utf-8"?>
<ds:datastoreItem xmlns:ds="http://schemas.openxmlformats.org/officeDocument/2006/customXml" ds:itemID="{0C49AE8E-7DBD-4B9C-9C6A-FD0E2FAA1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Paul Sukhu</cp:lastModifiedBy>
  <cp:revision>7</cp:revision>
  <dcterms:created xsi:type="dcterms:W3CDTF">2021-08-19T15:34:00Z</dcterms:created>
  <dcterms:modified xsi:type="dcterms:W3CDTF">2021-08-19T15:37:00Z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0x0101000D04448E6AF66D4EB2F97C649CADCF24</vt:lpwstr>
  </property>
</Properties>
</file>