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E7079D" w:rsidRDefault="00E7079D">
      <w:pPr>
        <w:pStyle w:val="BodyA"/>
        <w:rPr>
          <w:sz w:val="24"/>
          <w:szCs w:val="24"/>
        </w:rPr>
      </w:pPr>
    </w:p>
    <w:p w14:paraId="2BCECA02" w14:textId="77777777" w:rsidR="00E7079D" w:rsidRDefault="00AB3E57">
      <w:pPr>
        <w:pStyle w:val="BodyA"/>
        <w:jc w:val="both"/>
        <w:rPr>
          <w:color w:val="FF0000"/>
          <w:sz w:val="40"/>
          <w:szCs w:val="40"/>
          <w:u w:color="FF0000"/>
        </w:rPr>
      </w:pPr>
      <w:r>
        <w:rPr>
          <w:noProof/>
          <w:color w:val="FF0000"/>
          <w:sz w:val="24"/>
          <w:szCs w:val="24"/>
          <w:u w:color="FF0000"/>
        </w:rPr>
        <w:drawing>
          <wp:anchor distT="0" distB="0" distL="0" distR="0" simplePos="0" relativeHeight="251659264" behindDoc="0" locked="0" layoutInCell="1" allowOverlap="1" wp14:anchorId="20A58CB3" wp14:editId="07777777">
            <wp:simplePos x="0" y="0"/>
            <wp:positionH relativeFrom="column">
              <wp:posOffset>3045460</wp:posOffset>
            </wp:positionH>
            <wp:positionV relativeFrom="line">
              <wp:posOffset>-379095</wp:posOffset>
            </wp:positionV>
            <wp:extent cx="3441700" cy="364492"/>
            <wp:effectExtent l="0" t="0" r="0" b="0"/>
            <wp:wrapTopAndBottom distT="0" distB="0"/>
            <wp:docPr id="1073741825" name="officeArt object" descr="Picture 3"/>
            <wp:cNvGraphicFramePr/>
            <a:graphic xmlns:a="http://schemas.openxmlformats.org/drawingml/2006/main">
              <a:graphicData uri="http://schemas.openxmlformats.org/drawingml/2006/picture">
                <pic:pic xmlns:pic="http://schemas.openxmlformats.org/drawingml/2006/picture">
                  <pic:nvPicPr>
                    <pic:cNvPr id="1073741825" name="Picture 3" descr="Picture 3"/>
                    <pic:cNvPicPr>
                      <a:picLocks noChangeAspect="1"/>
                    </pic:cNvPicPr>
                  </pic:nvPicPr>
                  <pic:blipFill>
                    <a:blip r:embed="rId7"/>
                    <a:stretch>
                      <a:fillRect/>
                    </a:stretch>
                  </pic:blipFill>
                  <pic:spPr>
                    <a:xfrm>
                      <a:off x="0" y="0"/>
                      <a:ext cx="3441700" cy="364492"/>
                    </a:xfrm>
                    <a:prstGeom prst="rect">
                      <a:avLst/>
                    </a:prstGeom>
                    <a:ln w="12700" cap="flat">
                      <a:noFill/>
                      <a:miter lim="400000"/>
                    </a:ln>
                    <a:effectLst/>
                  </pic:spPr>
                </pic:pic>
              </a:graphicData>
            </a:graphic>
          </wp:anchor>
        </w:drawing>
      </w:r>
    </w:p>
    <w:tbl>
      <w:tblPr>
        <w:tblW w:w="924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51"/>
        <w:gridCol w:w="3260"/>
        <w:gridCol w:w="4031"/>
      </w:tblGrid>
      <w:tr w:rsidR="00E7079D" w14:paraId="39BE49FE" w14:textId="77777777">
        <w:trPr>
          <w:trHeight w:val="572"/>
          <w:jc w:val="center"/>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E1431B" w14:textId="77777777" w:rsidR="00E7079D" w:rsidRDefault="00AB3E57">
            <w:pPr>
              <w:pStyle w:val="BodyA"/>
              <w:jc w:val="both"/>
            </w:pPr>
            <w:r>
              <w:rPr>
                <w:b/>
                <w:bCs/>
                <w:sz w:val="24"/>
                <w:szCs w:val="24"/>
              </w:rPr>
              <w:t>Meeting title</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6308B7" w14:textId="77777777" w:rsidR="00E7079D" w:rsidRDefault="00AB3E57">
            <w:pPr>
              <w:pStyle w:val="BodyA"/>
              <w:jc w:val="both"/>
            </w:pPr>
            <w:r>
              <w:rPr>
                <w:b/>
                <w:bCs/>
                <w:sz w:val="24"/>
                <w:szCs w:val="24"/>
              </w:rPr>
              <w:t xml:space="preserve">Trust Board </w:t>
            </w:r>
          </w:p>
        </w:tc>
        <w:tc>
          <w:tcPr>
            <w:tcW w:w="40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042273" w14:textId="77777777" w:rsidR="00E7079D" w:rsidRDefault="00AB3E57">
            <w:pPr>
              <w:pStyle w:val="BodyA"/>
              <w:jc w:val="both"/>
            </w:pPr>
            <w:r>
              <w:rPr>
                <w:b/>
                <w:bCs/>
                <w:sz w:val="24"/>
                <w:szCs w:val="24"/>
              </w:rPr>
              <w:t>Date: 02 November 2023</w:t>
            </w:r>
          </w:p>
        </w:tc>
      </w:tr>
      <w:tr w:rsidR="00E7079D" w14:paraId="33C77477" w14:textId="77777777">
        <w:trPr>
          <w:trHeight w:val="292"/>
          <w:jc w:val="center"/>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727522" w14:textId="77777777" w:rsidR="00E7079D" w:rsidRDefault="00AB3E57">
            <w:pPr>
              <w:pStyle w:val="BodyA"/>
              <w:jc w:val="both"/>
            </w:pPr>
            <w:r>
              <w:rPr>
                <w:b/>
                <w:bCs/>
                <w:sz w:val="24"/>
                <w:szCs w:val="24"/>
              </w:rPr>
              <w:t>Report title:</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9F6F8" w14:textId="77777777" w:rsidR="00E7079D" w:rsidRDefault="00AB3E57">
            <w:pPr>
              <w:pStyle w:val="BodyA"/>
              <w:jc w:val="both"/>
            </w:pPr>
            <w:r>
              <w:rPr>
                <w:b/>
                <w:bCs/>
                <w:sz w:val="24"/>
                <w:szCs w:val="24"/>
              </w:rPr>
              <w:t>Mortality Update</w:t>
            </w:r>
          </w:p>
        </w:tc>
        <w:tc>
          <w:tcPr>
            <w:tcW w:w="40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931C93" w14:textId="77777777" w:rsidR="00E7079D" w:rsidRDefault="00AB3E57">
            <w:pPr>
              <w:pStyle w:val="BodyA"/>
              <w:jc w:val="both"/>
            </w:pPr>
            <w:r>
              <w:rPr>
                <w:b/>
                <w:bCs/>
                <w:sz w:val="24"/>
                <w:szCs w:val="24"/>
              </w:rPr>
              <w:t>Agenda item:  XX</w:t>
            </w:r>
          </w:p>
        </w:tc>
      </w:tr>
      <w:tr w:rsidR="00E7079D" w14:paraId="10908DAA" w14:textId="77777777">
        <w:trPr>
          <w:trHeight w:val="852"/>
          <w:jc w:val="center"/>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D993B8" w14:textId="77777777" w:rsidR="00E7079D" w:rsidRDefault="00AB3E57">
            <w:pPr>
              <w:pStyle w:val="BodyA"/>
              <w:jc w:val="both"/>
              <w:rPr>
                <w:b/>
                <w:bCs/>
                <w:sz w:val="24"/>
                <w:szCs w:val="24"/>
              </w:rPr>
            </w:pPr>
            <w:r>
              <w:rPr>
                <w:b/>
                <w:bCs/>
                <w:sz w:val="24"/>
                <w:szCs w:val="24"/>
              </w:rPr>
              <w:t>Lead director</w:t>
            </w:r>
          </w:p>
          <w:p w14:paraId="73198060" w14:textId="77777777" w:rsidR="00E7079D" w:rsidRDefault="00AB3E57">
            <w:pPr>
              <w:pStyle w:val="BodyA"/>
              <w:jc w:val="both"/>
              <w:rPr>
                <w:b/>
                <w:bCs/>
                <w:sz w:val="24"/>
                <w:szCs w:val="24"/>
              </w:rPr>
            </w:pPr>
            <w:r>
              <w:rPr>
                <w:b/>
                <w:bCs/>
                <w:sz w:val="24"/>
                <w:szCs w:val="24"/>
              </w:rPr>
              <w:t>Report author</w:t>
            </w:r>
          </w:p>
          <w:p w14:paraId="0D359C66" w14:textId="77777777" w:rsidR="00E7079D" w:rsidRDefault="00AB3E57">
            <w:pPr>
              <w:pStyle w:val="BodyA"/>
              <w:jc w:val="both"/>
            </w:pPr>
            <w:r>
              <w:rPr>
                <w:b/>
                <w:bCs/>
                <w:sz w:val="24"/>
                <w:szCs w:val="24"/>
              </w:rPr>
              <w:t>Sponsor(s)</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9D5533" w14:textId="77777777" w:rsidR="00E7079D" w:rsidRDefault="00AB3E57">
            <w:pPr>
              <w:pStyle w:val="BodyA"/>
              <w:jc w:val="both"/>
              <w:rPr>
                <w:b/>
                <w:bCs/>
                <w:sz w:val="24"/>
                <w:szCs w:val="24"/>
              </w:rPr>
            </w:pPr>
            <w:r>
              <w:rPr>
                <w:b/>
                <w:bCs/>
                <w:sz w:val="24"/>
                <w:szCs w:val="24"/>
                <w:lang w:val="sv-SE"/>
              </w:rPr>
              <w:t>Dr Ian Reckless</w:t>
            </w:r>
          </w:p>
          <w:p w14:paraId="4B8DA019" w14:textId="77777777" w:rsidR="00E7079D" w:rsidRDefault="00AB3E57">
            <w:pPr>
              <w:pStyle w:val="BodyA"/>
              <w:jc w:val="both"/>
            </w:pPr>
            <w:r>
              <w:rPr>
                <w:b/>
                <w:bCs/>
                <w:sz w:val="24"/>
                <w:szCs w:val="24"/>
                <w:lang w:val="sv-SE"/>
              </w:rPr>
              <w:t xml:space="preserve">Dr </w:t>
            </w:r>
            <w:proofErr w:type="spellStart"/>
            <w:r>
              <w:rPr>
                <w:b/>
                <w:bCs/>
                <w:sz w:val="24"/>
                <w:szCs w:val="24"/>
              </w:rPr>
              <w:t>Nikolaos</w:t>
            </w:r>
            <w:proofErr w:type="spellEnd"/>
            <w:r>
              <w:rPr>
                <w:b/>
                <w:bCs/>
                <w:sz w:val="24"/>
                <w:szCs w:val="24"/>
              </w:rPr>
              <w:t xml:space="preserve"> </w:t>
            </w:r>
            <w:proofErr w:type="spellStart"/>
            <w:r>
              <w:rPr>
                <w:b/>
                <w:bCs/>
                <w:sz w:val="24"/>
                <w:szCs w:val="24"/>
              </w:rPr>
              <w:t>Makris</w:t>
            </w:r>
            <w:proofErr w:type="spellEnd"/>
          </w:p>
        </w:tc>
        <w:tc>
          <w:tcPr>
            <w:tcW w:w="40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F4F331" w14:textId="77777777" w:rsidR="00E7079D" w:rsidRDefault="00AB3E57">
            <w:pPr>
              <w:pStyle w:val="BodyA"/>
              <w:jc w:val="both"/>
              <w:rPr>
                <w:b/>
                <w:bCs/>
                <w:sz w:val="24"/>
                <w:szCs w:val="24"/>
              </w:rPr>
            </w:pPr>
            <w:r>
              <w:rPr>
                <w:b/>
                <w:bCs/>
                <w:sz w:val="24"/>
                <w:szCs w:val="24"/>
              </w:rPr>
              <w:t>Medical Director</w:t>
            </w:r>
          </w:p>
          <w:p w14:paraId="11E520E8" w14:textId="77777777" w:rsidR="00E7079D" w:rsidRDefault="00AB3E57">
            <w:pPr>
              <w:pStyle w:val="BodyA"/>
              <w:jc w:val="both"/>
            </w:pPr>
            <w:r>
              <w:rPr>
                <w:b/>
                <w:bCs/>
                <w:sz w:val="24"/>
                <w:szCs w:val="24"/>
              </w:rPr>
              <w:t>Associate Medical Director</w:t>
            </w:r>
          </w:p>
        </w:tc>
      </w:tr>
      <w:tr w:rsidR="00E7079D" w14:paraId="16AD7106" w14:textId="77777777">
        <w:trPr>
          <w:trHeight w:val="300"/>
          <w:jc w:val="center"/>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3B28DB" w14:textId="77777777" w:rsidR="00E7079D" w:rsidRDefault="00AB3E57">
            <w:pPr>
              <w:pStyle w:val="BodyA"/>
              <w:jc w:val="both"/>
            </w:pPr>
            <w:r>
              <w:rPr>
                <w:b/>
                <w:bCs/>
                <w:sz w:val="24"/>
                <w:szCs w:val="24"/>
              </w:rPr>
              <w:t>FoI status:</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1A21D3" w14:textId="77777777" w:rsidR="00E7079D" w:rsidRDefault="00AB3E57">
            <w:pPr>
              <w:pStyle w:val="BodyA"/>
              <w:jc w:val="both"/>
            </w:pPr>
            <w:r>
              <w:rPr>
                <w:b/>
                <w:bCs/>
                <w:sz w:val="24"/>
                <w:szCs w:val="24"/>
              </w:rPr>
              <w:t xml:space="preserve">Publicly </w:t>
            </w:r>
            <w:r>
              <w:rPr>
                <w:b/>
                <w:bCs/>
                <w:sz w:val="24"/>
                <w:szCs w:val="24"/>
              </w:rPr>
              <w:t>disclosable</w:t>
            </w:r>
          </w:p>
        </w:tc>
        <w:tc>
          <w:tcPr>
            <w:tcW w:w="40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37501D" w14:textId="77777777" w:rsidR="00E7079D" w:rsidRDefault="00E7079D"/>
        </w:tc>
      </w:tr>
    </w:tbl>
    <w:p w14:paraId="5DAB6C7B" w14:textId="77777777" w:rsidR="00E7079D" w:rsidRDefault="00E7079D">
      <w:pPr>
        <w:pStyle w:val="BodyA"/>
        <w:widowControl w:val="0"/>
        <w:jc w:val="center"/>
        <w:rPr>
          <w:color w:val="FF0000"/>
          <w:sz w:val="40"/>
          <w:szCs w:val="40"/>
          <w:u w:color="FF0000"/>
        </w:rPr>
      </w:pPr>
    </w:p>
    <w:p w14:paraId="02EB378F" w14:textId="77777777" w:rsidR="00E7079D" w:rsidRDefault="00E7079D">
      <w:pPr>
        <w:pStyle w:val="BodyA"/>
        <w:widowControl w:val="0"/>
        <w:jc w:val="center"/>
        <w:rPr>
          <w:color w:val="FF0000"/>
          <w:sz w:val="40"/>
          <w:szCs w:val="40"/>
          <w:u w:color="FF0000"/>
        </w:rPr>
      </w:pPr>
    </w:p>
    <w:p w14:paraId="6A05A809" w14:textId="77777777" w:rsidR="00E7079D" w:rsidRDefault="00E7079D">
      <w:pPr>
        <w:pStyle w:val="BodyA"/>
        <w:jc w:val="both"/>
        <w:rPr>
          <w:b/>
          <w:bCs/>
          <w:sz w:val="24"/>
          <w:szCs w:val="24"/>
        </w:rPr>
      </w:pPr>
    </w:p>
    <w:tbl>
      <w:tblPr>
        <w:tblW w:w="918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30"/>
        <w:gridCol w:w="1706"/>
        <w:gridCol w:w="1701"/>
        <w:gridCol w:w="1559"/>
        <w:gridCol w:w="1984"/>
      </w:tblGrid>
      <w:tr w:rsidR="00E7079D" w14:paraId="3917B51D" w14:textId="77777777">
        <w:trPr>
          <w:trHeight w:val="5322"/>
          <w:jc w:val="center"/>
        </w:trPr>
        <w:tc>
          <w:tcPr>
            <w:tcW w:w="2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125245" w14:textId="77777777" w:rsidR="00E7079D" w:rsidRDefault="00AB3E57">
            <w:pPr>
              <w:pStyle w:val="BodyA"/>
              <w:jc w:val="both"/>
            </w:pPr>
            <w:r>
              <w:rPr>
                <w:b/>
                <w:bCs/>
                <w:sz w:val="24"/>
                <w:szCs w:val="24"/>
              </w:rPr>
              <w:t>Report summary</w:t>
            </w:r>
          </w:p>
        </w:tc>
        <w:tc>
          <w:tcPr>
            <w:tcW w:w="695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1BE803" w14:textId="77777777" w:rsidR="00E7079D" w:rsidRDefault="00AB3E57">
            <w:pPr>
              <w:pStyle w:val="BodyA"/>
              <w:jc w:val="both"/>
              <w:rPr>
                <w:sz w:val="24"/>
                <w:szCs w:val="24"/>
              </w:rPr>
            </w:pPr>
            <w:r>
              <w:rPr>
                <w:sz w:val="24"/>
                <w:szCs w:val="24"/>
              </w:rPr>
              <w:t xml:space="preserve">The Trust regards mortality as an important metric of the quality of the services provided. Hospital mortality may reflect the performance of the wider health and social care system in Milton Keynes. There is </w:t>
            </w:r>
            <w:r>
              <w:rPr>
                <w:i/>
                <w:iCs/>
                <w:sz w:val="24"/>
                <w:szCs w:val="24"/>
              </w:rPr>
              <w:t>quantitative</w:t>
            </w:r>
            <w:r>
              <w:rPr>
                <w:sz w:val="24"/>
                <w:szCs w:val="24"/>
              </w:rPr>
              <w:t xml:space="preserve"> evidence to demonstrate that risk adjusted mortality at MKUH is ‘as expected’ when compared to peers. There are no major outlying areas of concern.</w:t>
            </w:r>
          </w:p>
          <w:p w14:paraId="5A39BBE3" w14:textId="77777777" w:rsidR="00E7079D" w:rsidRDefault="00E7079D">
            <w:pPr>
              <w:pStyle w:val="BodyA"/>
              <w:jc w:val="both"/>
              <w:rPr>
                <w:sz w:val="24"/>
                <w:szCs w:val="24"/>
              </w:rPr>
            </w:pPr>
          </w:p>
          <w:p w14:paraId="03889DE9" w14:textId="77777777" w:rsidR="00E7079D" w:rsidRDefault="00AB3E57">
            <w:pPr>
              <w:pStyle w:val="BodyA"/>
              <w:jc w:val="both"/>
              <w:rPr>
                <w:sz w:val="24"/>
                <w:szCs w:val="24"/>
              </w:rPr>
            </w:pPr>
            <w:r>
              <w:rPr>
                <w:sz w:val="24"/>
                <w:szCs w:val="24"/>
              </w:rPr>
              <w:t xml:space="preserve">Deaths are also </w:t>
            </w:r>
            <w:proofErr w:type="spellStart"/>
            <w:r>
              <w:rPr>
                <w:sz w:val="24"/>
                <w:szCs w:val="24"/>
              </w:rPr>
              <w:t>analysed</w:t>
            </w:r>
            <w:proofErr w:type="spellEnd"/>
            <w:r>
              <w:rPr>
                <w:sz w:val="24"/>
                <w:szCs w:val="24"/>
              </w:rPr>
              <w:t xml:space="preserve"> </w:t>
            </w:r>
            <w:r>
              <w:rPr>
                <w:i/>
                <w:iCs/>
                <w:sz w:val="24"/>
                <w:szCs w:val="24"/>
              </w:rPr>
              <w:t>qualitatively</w:t>
            </w:r>
            <w:r>
              <w:rPr>
                <w:sz w:val="24"/>
                <w:szCs w:val="24"/>
              </w:rPr>
              <w:t xml:space="preserve"> with 100% coverage through the Medical Examiner system, and the use of ‘Structured Judgement Reviews’ to ensure that there is learning in cases where it is felt that the outcome could have been improved. The statutory Coronial system is also involved in the review of selected hospital deaths and provides an additional layer of assurance.  </w:t>
            </w:r>
          </w:p>
          <w:p w14:paraId="41C8F396" w14:textId="77777777" w:rsidR="00E7079D" w:rsidRDefault="00E7079D">
            <w:pPr>
              <w:pStyle w:val="BodyA"/>
              <w:jc w:val="both"/>
              <w:rPr>
                <w:sz w:val="24"/>
                <w:szCs w:val="24"/>
              </w:rPr>
            </w:pPr>
          </w:p>
          <w:p w14:paraId="54C9F71B" w14:textId="77777777" w:rsidR="00E7079D" w:rsidRDefault="00AB3E57">
            <w:pPr>
              <w:pStyle w:val="BodyA"/>
              <w:jc w:val="both"/>
            </w:pPr>
            <w:r>
              <w:rPr>
                <w:sz w:val="24"/>
                <w:szCs w:val="24"/>
              </w:rPr>
              <w:t xml:space="preserve">The Trust’s system of mortality review is operated through the Mortality Review Group, reporting through to Patient Safety Board and on to Trust Executive Committee.          </w:t>
            </w:r>
          </w:p>
        </w:tc>
      </w:tr>
      <w:tr w:rsidR="00E7079D" w14:paraId="29AA4B42" w14:textId="77777777">
        <w:trPr>
          <w:trHeight w:val="572"/>
          <w:jc w:val="center"/>
        </w:trPr>
        <w:tc>
          <w:tcPr>
            <w:tcW w:w="2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D503EB" w14:textId="77777777" w:rsidR="00E7079D" w:rsidRDefault="00AB3E57">
            <w:pPr>
              <w:pStyle w:val="BodyA"/>
              <w:jc w:val="both"/>
              <w:rPr>
                <w:b/>
                <w:bCs/>
                <w:sz w:val="24"/>
                <w:szCs w:val="24"/>
              </w:rPr>
            </w:pPr>
            <w:r>
              <w:rPr>
                <w:b/>
                <w:bCs/>
                <w:sz w:val="24"/>
                <w:szCs w:val="24"/>
              </w:rPr>
              <w:t xml:space="preserve">Purpose </w:t>
            </w:r>
          </w:p>
          <w:p w14:paraId="6B75957A" w14:textId="77777777" w:rsidR="00E7079D" w:rsidRDefault="00AB3E57">
            <w:pPr>
              <w:pStyle w:val="BodyA"/>
              <w:jc w:val="both"/>
            </w:pPr>
            <w:r>
              <w:rPr>
                <w:i/>
                <w:iCs/>
                <w:sz w:val="24"/>
                <w:szCs w:val="24"/>
              </w:rPr>
              <w:t>(tick one box only)</w:t>
            </w:r>
          </w:p>
        </w:tc>
        <w:tc>
          <w:tcPr>
            <w:tcW w:w="1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1C6183" w14:textId="77777777" w:rsidR="00E7079D" w:rsidRDefault="00AB3E57">
            <w:pPr>
              <w:pStyle w:val="BodyA"/>
              <w:jc w:val="both"/>
              <w:rPr>
                <w:b/>
                <w:bCs/>
                <w:sz w:val="20"/>
                <w:szCs w:val="20"/>
              </w:rPr>
            </w:pPr>
            <w:r>
              <w:rPr>
                <w:b/>
                <w:bCs/>
                <w:sz w:val="20"/>
                <w:szCs w:val="20"/>
              </w:rPr>
              <w:t>Information</w:t>
            </w:r>
          </w:p>
          <w:p w14:paraId="33096EF0" w14:textId="77777777" w:rsidR="00E7079D" w:rsidRDefault="00AB3E57">
            <w:pPr>
              <w:pStyle w:val="BodyA"/>
              <w:jc w:val="center"/>
            </w:pPr>
            <w:r>
              <w:rPr>
                <w:b/>
                <w:bCs/>
                <w:sz w:val="20"/>
                <w:szCs w:val="20"/>
              </w:rPr>
              <w:t>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94EE75" w14:textId="77777777" w:rsidR="00E7079D" w:rsidRDefault="00AB3E57">
            <w:pPr>
              <w:pStyle w:val="BodyA"/>
              <w:jc w:val="both"/>
            </w:pPr>
            <w:r>
              <w:rPr>
                <w:b/>
                <w:bCs/>
                <w:sz w:val="20"/>
                <w:szCs w:val="20"/>
              </w:rPr>
              <w:t>Approval</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5FDA85" w14:textId="77777777" w:rsidR="00E7079D" w:rsidRDefault="00AB3E57">
            <w:pPr>
              <w:pStyle w:val="BodyA"/>
              <w:jc w:val="both"/>
            </w:pPr>
            <w:r>
              <w:rPr>
                <w:b/>
                <w:bCs/>
                <w:sz w:val="20"/>
                <w:szCs w:val="20"/>
              </w:rPr>
              <w:t>To note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49B647" w14:textId="77777777" w:rsidR="00E7079D" w:rsidRDefault="00AB3E57">
            <w:pPr>
              <w:pStyle w:val="BodyA"/>
              <w:jc w:val="both"/>
            </w:pPr>
            <w:r>
              <w:rPr>
                <w:b/>
                <w:bCs/>
                <w:sz w:val="20"/>
                <w:szCs w:val="20"/>
              </w:rPr>
              <w:t>Decision</w:t>
            </w:r>
          </w:p>
        </w:tc>
      </w:tr>
      <w:tr w:rsidR="00E7079D" w14:paraId="31498C42" w14:textId="77777777">
        <w:trPr>
          <w:trHeight w:val="292"/>
          <w:jc w:val="center"/>
        </w:trPr>
        <w:tc>
          <w:tcPr>
            <w:tcW w:w="2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BF9F4B" w14:textId="77777777" w:rsidR="00E7079D" w:rsidRDefault="00AB3E57">
            <w:pPr>
              <w:pStyle w:val="BodyA"/>
              <w:jc w:val="both"/>
            </w:pPr>
            <w:r>
              <w:rPr>
                <w:b/>
                <w:bCs/>
                <w:sz w:val="24"/>
                <w:szCs w:val="24"/>
              </w:rPr>
              <w:t>Recommendation</w:t>
            </w:r>
          </w:p>
        </w:tc>
        <w:tc>
          <w:tcPr>
            <w:tcW w:w="695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C049D7" w14:textId="77777777" w:rsidR="00E7079D" w:rsidRDefault="00AB3E57">
            <w:pPr>
              <w:pStyle w:val="Default"/>
              <w:jc w:val="both"/>
            </w:pPr>
            <w:r>
              <w:rPr>
                <w:rFonts w:ascii="Arial" w:hAnsi="Arial"/>
              </w:rPr>
              <w:t>Receive and discuss</w:t>
            </w:r>
          </w:p>
        </w:tc>
      </w:tr>
    </w:tbl>
    <w:p w14:paraId="72A3D3EC" w14:textId="77777777" w:rsidR="00E7079D" w:rsidRDefault="00E7079D">
      <w:pPr>
        <w:pStyle w:val="BodyA"/>
        <w:widowControl w:val="0"/>
        <w:jc w:val="center"/>
        <w:rPr>
          <w:b/>
          <w:bCs/>
          <w:sz w:val="24"/>
          <w:szCs w:val="24"/>
        </w:rPr>
      </w:pPr>
    </w:p>
    <w:p w14:paraId="0D0B940D" w14:textId="77777777" w:rsidR="00E7079D" w:rsidRDefault="00E7079D">
      <w:pPr>
        <w:pStyle w:val="BodyA"/>
        <w:jc w:val="both"/>
        <w:rPr>
          <w:b/>
          <w:bCs/>
          <w:sz w:val="24"/>
          <w:szCs w:val="24"/>
        </w:rPr>
      </w:pPr>
    </w:p>
    <w:tbl>
      <w:tblPr>
        <w:tblW w:w="924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63"/>
        <w:gridCol w:w="6979"/>
      </w:tblGrid>
      <w:tr w:rsidR="00E7079D" w14:paraId="119D7E2C" w14:textId="77777777">
        <w:trPr>
          <w:trHeight w:val="292"/>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C4B556" w14:textId="77777777" w:rsidR="00E7079D" w:rsidRDefault="00AB3E57">
            <w:pPr>
              <w:pStyle w:val="BodyA"/>
              <w:jc w:val="both"/>
            </w:pPr>
            <w:r>
              <w:rPr>
                <w:b/>
                <w:bCs/>
                <w:sz w:val="24"/>
                <w:szCs w:val="24"/>
              </w:rPr>
              <w:t>Report history</w:t>
            </w:r>
          </w:p>
        </w:tc>
        <w:tc>
          <w:tcPr>
            <w:tcW w:w="69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872A6D" w14:textId="77777777" w:rsidR="00E7079D" w:rsidRDefault="00AB3E57">
            <w:pPr>
              <w:pStyle w:val="Default"/>
              <w:jc w:val="both"/>
            </w:pPr>
            <w:r>
              <w:rPr>
                <w:rFonts w:ascii="Arial" w:hAnsi="Arial"/>
              </w:rPr>
              <w:t>Periodic updates</w:t>
            </w:r>
          </w:p>
        </w:tc>
      </w:tr>
    </w:tbl>
    <w:p w14:paraId="0E27B00A" w14:textId="77777777" w:rsidR="00E7079D" w:rsidRDefault="00E7079D">
      <w:pPr>
        <w:pStyle w:val="BodyA"/>
        <w:widowControl w:val="0"/>
        <w:jc w:val="center"/>
        <w:rPr>
          <w:b/>
          <w:bCs/>
          <w:sz w:val="24"/>
          <w:szCs w:val="24"/>
        </w:rPr>
      </w:pPr>
    </w:p>
    <w:p w14:paraId="60061E4C" w14:textId="77777777" w:rsidR="00E7079D" w:rsidRDefault="00E7079D">
      <w:pPr>
        <w:pStyle w:val="BodyA"/>
        <w:widowControl w:val="0"/>
        <w:jc w:val="center"/>
        <w:rPr>
          <w:b/>
          <w:bCs/>
          <w:sz w:val="24"/>
          <w:szCs w:val="24"/>
        </w:rPr>
      </w:pPr>
    </w:p>
    <w:p w14:paraId="44EAFD9C" w14:textId="77777777" w:rsidR="00E7079D" w:rsidRDefault="00E7079D">
      <w:pPr>
        <w:pStyle w:val="BodyA"/>
        <w:jc w:val="both"/>
        <w:rPr>
          <w:b/>
          <w:bCs/>
          <w:sz w:val="24"/>
          <w:szCs w:val="24"/>
        </w:rPr>
      </w:pPr>
    </w:p>
    <w:p w14:paraId="4B94D5A5" w14:textId="77777777" w:rsidR="00E7079D" w:rsidRDefault="00E7079D">
      <w:pPr>
        <w:pStyle w:val="BodyA"/>
        <w:jc w:val="both"/>
        <w:rPr>
          <w:b/>
          <w:bCs/>
          <w:sz w:val="24"/>
          <w:szCs w:val="24"/>
        </w:rPr>
      </w:pPr>
    </w:p>
    <w:p w14:paraId="3DEEC669" w14:textId="77777777" w:rsidR="00E7079D" w:rsidRDefault="00AB3E57">
      <w:pPr>
        <w:pStyle w:val="BodyA"/>
        <w:spacing w:after="200" w:line="276" w:lineRule="auto"/>
        <w:jc w:val="both"/>
      </w:pPr>
      <w:r>
        <w:rPr>
          <w:rFonts w:ascii="Arial Unicode MS" w:eastAsia="Arial Unicode MS" w:hAnsi="Arial Unicode MS" w:cs="Arial Unicode MS"/>
          <w:sz w:val="24"/>
          <w:szCs w:val="24"/>
        </w:rPr>
        <w:br w:type="page"/>
      </w:r>
    </w:p>
    <w:p w14:paraId="2664F4B3" w14:textId="77777777" w:rsidR="00E7079D" w:rsidRDefault="00AB3E57">
      <w:pPr>
        <w:pStyle w:val="BodyA"/>
        <w:jc w:val="both"/>
        <w:rPr>
          <w:b/>
          <w:bCs/>
          <w:sz w:val="24"/>
          <w:szCs w:val="24"/>
          <w:u w:val="single"/>
        </w:rPr>
      </w:pPr>
      <w:r>
        <w:rPr>
          <w:b/>
          <w:bCs/>
          <w:sz w:val="24"/>
          <w:szCs w:val="24"/>
          <w:u w:val="single"/>
        </w:rPr>
        <w:lastRenderedPageBreak/>
        <w:t>Executive Summary</w:t>
      </w:r>
    </w:p>
    <w:p w14:paraId="3656B9AB" w14:textId="77777777" w:rsidR="00E7079D" w:rsidRDefault="00E7079D">
      <w:pPr>
        <w:pStyle w:val="BodyA"/>
        <w:jc w:val="both"/>
        <w:rPr>
          <w:b/>
          <w:bCs/>
          <w:sz w:val="24"/>
          <w:szCs w:val="24"/>
          <w:u w:val="single"/>
        </w:rPr>
      </w:pPr>
    </w:p>
    <w:p w14:paraId="313343EF" w14:textId="77777777" w:rsidR="00E7079D" w:rsidRDefault="00AB3E57">
      <w:pPr>
        <w:pStyle w:val="BodyA"/>
        <w:jc w:val="both"/>
        <w:rPr>
          <w:sz w:val="24"/>
          <w:szCs w:val="24"/>
        </w:rPr>
      </w:pPr>
      <w:r>
        <w:rPr>
          <w:sz w:val="24"/>
          <w:szCs w:val="24"/>
        </w:rPr>
        <w:t xml:space="preserve">High-level </w:t>
      </w:r>
      <w:r>
        <w:rPr>
          <w:i/>
          <w:iCs/>
          <w:sz w:val="24"/>
          <w:szCs w:val="24"/>
        </w:rPr>
        <w:t>quantitative</w:t>
      </w:r>
      <w:r>
        <w:rPr>
          <w:sz w:val="24"/>
          <w:szCs w:val="24"/>
        </w:rPr>
        <w:t xml:space="preserve"> metrics for the most recent 12-month rolling period available are as follows:</w:t>
      </w:r>
    </w:p>
    <w:p w14:paraId="29D6B04F" w14:textId="77777777" w:rsidR="00E7079D" w:rsidRDefault="00AB3E57">
      <w:pPr>
        <w:pStyle w:val="BodyA"/>
        <w:jc w:val="both"/>
        <w:rPr>
          <w:sz w:val="24"/>
          <w:szCs w:val="24"/>
        </w:rPr>
      </w:pPr>
      <w:r>
        <w:rPr>
          <w:sz w:val="24"/>
          <w:szCs w:val="24"/>
        </w:rPr>
        <w:t xml:space="preserve"> </w:t>
      </w:r>
    </w:p>
    <w:p w14:paraId="3EEE0208" w14:textId="77777777" w:rsidR="00E7079D" w:rsidRDefault="00AB3E57">
      <w:pPr>
        <w:pStyle w:val="BodyA"/>
        <w:numPr>
          <w:ilvl w:val="0"/>
          <w:numId w:val="2"/>
        </w:numPr>
        <w:jc w:val="both"/>
        <w:rPr>
          <w:sz w:val="24"/>
          <w:szCs w:val="24"/>
        </w:rPr>
      </w:pPr>
      <w:r>
        <w:rPr>
          <w:sz w:val="24"/>
          <w:szCs w:val="24"/>
        </w:rPr>
        <w:t xml:space="preserve">The Trust’s </w:t>
      </w:r>
      <w:r>
        <w:rPr>
          <w:b/>
          <w:bCs/>
          <w:sz w:val="24"/>
          <w:szCs w:val="24"/>
        </w:rPr>
        <w:t>crude mortality rate is ‘first quartile'</w:t>
      </w:r>
      <w:r>
        <w:rPr>
          <w:sz w:val="24"/>
          <w:szCs w:val="24"/>
        </w:rPr>
        <w:t xml:space="preserve"> </w:t>
      </w:r>
      <w:r>
        <w:rPr>
          <w:sz w:val="24"/>
          <w:szCs w:val="24"/>
        </w:rPr>
        <w:t xml:space="preserve">when examined alongside its peers (1.13% compared to a national rate of 1.27%).  </w:t>
      </w:r>
    </w:p>
    <w:p w14:paraId="45FB0818" w14:textId="77777777" w:rsidR="00E7079D" w:rsidRDefault="00E7079D">
      <w:pPr>
        <w:pStyle w:val="BodyA"/>
        <w:jc w:val="both"/>
        <w:rPr>
          <w:sz w:val="24"/>
          <w:szCs w:val="24"/>
        </w:rPr>
      </w:pPr>
    </w:p>
    <w:p w14:paraId="09E217D7" w14:textId="4A6391F7" w:rsidR="00E7079D" w:rsidRDefault="436E9498">
      <w:pPr>
        <w:pStyle w:val="BodyA"/>
        <w:numPr>
          <w:ilvl w:val="0"/>
          <w:numId w:val="2"/>
        </w:numPr>
        <w:jc w:val="both"/>
        <w:rPr>
          <w:sz w:val="24"/>
          <w:szCs w:val="24"/>
        </w:rPr>
      </w:pPr>
      <w:r w:rsidRPr="436E9498">
        <w:rPr>
          <w:sz w:val="24"/>
          <w:szCs w:val="24"/>
        </w:rPr>
        <w:t>The Trust’s</w:t>
      </w:r>
      <w:r w:rsidRPr="436E9498">
        <w:rPr>
          <w:b/>
          <w:bCs/>
          <w:sz w:val="24"/>
          <w:szCs w:val="24"/>
        </w:rPr>
        <w:t xml:space="preserve"> HSMR is statistically ‘mid-range’</w:t>
      </w:r>
      <w:r w:rsidRPr="436E9498">
        <w:rPr>
          <w:sz w:val="24"/>
          <w:szCs w:val="24"/>
        </w:rPr>
        <w:t xml:space="preserve"> when examined alongside its peers (rolling 12 months, to August 2023) (108.2 compared to 102.5).  </w:t>
      </w:r>
    </w:p>
    <w:p w14:paraId="049F31CB" w14:textId="77777777" w:rsidR="00E7079D" w:rsidRDefault="00E7079D">
      <w:pPr>
        <w:pStyle w:val="BodyA"/>
        <w:jc w:val="both"/>
        <w:rPr>
          <w:sz w:val="24"/>
          <w:szCs w:val="24"/>
        </w:rPr>
      </w:pPr>
    </w:p>
    <w:p w14:paraId="0580A70B" w14:textId="7504FAF8" w:rsidR="00E7079D" w:rsidRDefault="436E9498">
      <w:pPr>
        <w:pStyle w:val="BodyA"/>
        <w:numPr>
          <w:ilvl w:val="0"/>
          <w:numId w:val="2"/>
        </w:numPr>
        <w:jc w:val="both"/>
        <w:rPr>
          <w:sz w:val="24"/>
          <w:szCs w:val="24"/>
        </w:rPr>
      </w:pPr>
      <w:r w:rsidRPr="436E9498">
        <w:rPr>
          <w:sz w:val="24"/>
          <w:szCs w:val="24"/>
        </w:rPr>
        <w:t xml:space="preserve">The Trust’s </w:t>
      </w:r>
      <w:r w:rsidRPr="436E9498">
        <w:rPr>
          <w:b/>
          <w:bCs/>
          <w:sz w:val="24"/>
          <w:szCs w:val="24"/>
        </w:rPr>
        <w:t>SHMI is in the ‘as expected’ category</w:t>
      </w:r>
      <w:r w:rsidRPr="436E9498">
        <w:rPr>
          <w:sz w:val="24"/>
          <w:szCs w:val="24"/>
        </w:rPr>
        <w:t xml:space="preserve"> (rolling 12 months to May 2023) (1.03 compared to 100) </w:t>
      </w:r>
    </w:p>
    <w:p w14:paraId="5446412B" w14:textId="77777777" w:rsidR="00E7079D" w:rsidRDefault="00AB3E57">
      <w:pPr>
        <w:pStyle w:val="BodyA"/>
        <w:numPr>
          <w:ilvl w:val="0"/>
          <w:numId w:val="2"/>
        </w:numPr>
        <w:jc w:val="both"/>
        <w:rPr>
          <w:sz w:val="24"/>
          <w:szCs w:val="24"/>
        </w:rPr>
      </w:pPr>
      <w:r>
        <w:rPr>
          <w:sz w:val="24"/>
          <w:szCs w:val="24"/>
        </w:rPr>
        <w:t xml:space="preserve">The </w:t>
      </w:r>
      <w:r>
        <w:rPr>
          <w:b/>
          <w:bCs/>
          <w:sz w:val="24"/>
          <w:szCs w:val="24"/>
        </w:rPr>
        <w:t>In-hospital SHMI</w:t>
      </w:r>
      <w:r>
        <w:rPr>
          <w:sz w:val="24"/>
          <w:szCs w:val="24"/>
        </w:rPr>
        <w:t xml:space="preserve"> is slightly below the national benchmark (70.4 compared to 75.6). This </w:t>
      </w:r>
      <w:r>
        <w:rPr>
          <w:b/>
          <w:bCs/>
          <w:sz w:val="24"/>
          <w:szCs w:val="24"/>
        </w:rPr>
        <w:t>remains in the ‘mid-range.</w:t>
      </w:r>
      <w:r>
        <w:rPr>
          <w:sz w:val="24"/>
          <w:szCs w:val="24"/>
        </w:rPr>
        <w:t>’</w:t>
      </w:r>
    </w:p>
    <w:p w14:paraId="53128261" w14:textId="77777777" w:rsidR="00E7079D" w:rsidRDefault="00E7079D">
      <w:pPr>
        <w:pStyle w:val="BodyA"/>
        <w:jc w:val="both"/>
        <w:rPr>
          <w:sz w:val="24"/>
          <w:szCs w:val="24"/>
        </w:rPr>
      </w:pPr>
    </w:p>
    <w:p w14:paraId="6D078D51" w14:textId="3A2DC0C7" w:rsidR="00E7079D" w:rsidRDefault="436E9498">
      <w:pPr>
        <w:pStyle w:val="BodyA"/>
        <w:jc w:val="both"/>
        <w:rPr>
          <w:sz w:val="24"/>
          <w:szCs w:val="24"/>
        </w:rPr>
      </w:pPr>
      <w:r w:rsidRPr="436E9498">
        <w:rPr>
          <w:sz w:val="24"/>
          <w:szCs w:val="24"/>
        </w:rPr>
        <w:t xml:space="preserve">A variety of data definitions are included </w:t>
      </w:r>
      <w:r w:rsidR="472FC2F6" w:rsidRPr="436E9498">
        <w:rPr>
          <w:sz w:val="24"/>
          <w:szCs w:val="24"/>
        </w:rPr>
        <w:t>in</w:t>
      </w:r>
      <w:r w:rsidRPr="436E9498">
        <w:rPr>
          <w:sz w:val="24"/>
          <w:szCs w:val="24"/>
        </w:rPr>
        <w:t xml:space="preserve"> </w:t>
      </w:r>
      <w:r w:rsidRPr="436E9498">
        <w:rPr>
          <w:b/>
          <w:bCs/>
          <w:sz w:val="24"/>
          <w:szCs w:val="24"/>
        </w:rPr>
        <w:t>appendix 1</w:t>
      </w:r>
      <w:r w:rsidRPr="436E9498">
        <w:rPr>
          <w:sz w:val="24"/>
          <w:szCs w:val="24"/>
        </w:rPr>
        <w:t xml:space="preserve">. The Trust has undertaken detailed work to better understand its position in relation to the risk-adjusted mortality indices (HSMR and SHMI), as some of the figures are numerically above the national average (although importantly within the expected range). Key factors from the review are: </w:t>
      </w:r>
    </w:p>
    <w:p w14:paraId="62486C05" w14:textId="77777777" w:rsidR="00E7079D" w:rsidRDefault="00E7079D">
      <w:pPr>
        <w:pStyle w:val="BodyA"/>
        <w:ind w:left="720"/>
        <w:jc w:val="both"/>
        <w:rPr>
          <w:sz w:val="24"/>
          <w:szCs w:val="24"/>
        </w:rPr>
      </w:pPr>
    </w:p>
    <w:p w14:paraId="3B68C997" w14:textId="77777777" w:rsidR="00E7079D" w:rsidRDefault="00AB3E57">
      <w:pPr>
        <w:pStyle w:val="BodyA"/>
        <w:numPr>
          <w:ilvl w:val="0"/>
          <w:numId w:val="4"/>
        </w:numPr>
        <w:jc w:val="both"/>
        <w:rPr>
          <w:sz w:val="24"/>
          <w:szCs w:val="24"/>
        </w:rPr>
      </w:pPr>
      <w:r>
        <w:rPr>
          <w:sz w:val="24"/>
          <w:szCs w:val="24"/>
        </w:rPr>
        <w:t>The frequency with which ‘signs or symptoms’ are coded as the primary diagnosis at MKUH has increased since the introduction of our Electronic Health Record (EHR). An inpatient admission is divided into a larger number of slides known as ‘finished consultant episodes’ (FCE). An FCE is the time spent under the care of a named consultant in a named specialty. Only information recorded in the initial two FCEs is considered in determining mortality statistics. A patient admitted with and dying from bilateral br</w:t>
      </w:r>
      <w:r>
        <w:rPr>
          <w:sz w:val="24"/>
          <w:szCs w:val="24"/>
        </w:rPr>
        <w:t xml:space="preserve">onchopneumonia (a condition known to have a high mortality rate) may have their admission coded as the symptoms / signs of ‘cough and dyspnoea’ if the second FCE concludes before the necessary information is available to enable ‘bilateral bronchopneumonia’ to be recorded in the notes (and subsequently coded).    </w:t>
      </w:r>
    </w:p>
    <w:p w14:paraId="5E826284" w14:textId="61A362F4" w:rsidR="00E7079D" w:rsidRDefault="436E9498">
      <w:pPr>
        <w:pStyle w:val="BodyA"/>
        <w:numPr>
          <w:ilvl w:val="0"/>
          <w:numId w:val="4"/>
        </w:numPr>
        <w:jc w:val="both"/>
        <w:rPr>
          <w:sz w:val="24"/>
          <w:szCs w:val="24"/>
        </w:rPr>
      </w:pPr>
      <w:r w:rsidRPr="436E9498">
        <w:rPr>
          <w:sz w:val="24"/>
          <w:szCs w:val="24"/>
        </w:rPr>
        <w:t>While depth of coding (illustrated by Average Diagnoses per FCE) is in line with the national average, the proportion in hospital SHMI-spells with invalid or incomplete primary diagnoses is high among</w:t>
      </w:r>
      <w:r w:rsidR="002E64AF">
        <w:rPr>
          <w:sz w:val="24"/>
          <w:szCs w:val="24"/>
        </w:rPr>
        <w:t>st</w:t>
      </w:r>
      <w:r w:rsidRPr="436E9498">
        <w:rPr>
          <w:sz w:val="24"/>
          <w:szCs w:val="24"/>
        </w:rPr>
        <w:t xml:space="preserve"> NHS Trusts (31.7%) These spells are </w:t>
      </w:r>
      <w:proofErr w:type="spellStart"/>
      <w:r w:rsidRPr="436E9498">
        <w:rPr>
          <w:sz w:val="24"/>
          <w:szCs w:val="24"/>
        </w:rPr>
        <w:t>mis-categorised</w:t>
      </w:r>
      <w:proofErr w:type="spellEnd"/>
      <w:r w:rsidRPr="436E9498">
        <w:rPr>
          <w:sz w:val="24"/>
          <w:szCs w:val="24"/>
        </w:rPr>
        <w:t xml:space="preserve"> into an incorrect diagnostic group, rendering them meaningless in the interpretation of mortality. </w:t>
      </w:r>
      <w:r w:rsidR="2682358F" w:rsidRPr="436E9498">
        <w:rPr>
          <w:sz w:val="24"/>
          <w:szCs w:val="24"/>
        </w:rPr>
        <w:t>The fact that</w:t>
      </w:r>
      <w:r w:rsidRPr="436E9498">
        <w:rPr>
          <w:sz w:val="24"/>
          <w:szCs w:val="24"/>
        </w:rPr>
        <w:t xml:space="preserve"> a </w:t>
      </w:r>
      <w:r w:rsidR="00CF3231">
        <w:rPr>
          <w:sz w:val="24"/>
          <w:szCs w:val="24"/>
        </w:rPr>
        <w:t>significant proportion</w:t>
      </w:r>
      <w:r w:rsidRPr="436E9498">
        <w:rPr>
          <w:sz w:val="24"/>
          <w:szCs w:val="24"/>
        </w:rPr>
        <w:t xml:space="preserve"> of relevant hospital spells </w:t>
      </w:r>
      <w:r w:rsidR="1B3A6ECF" w:rsidRPr="436E9498">
        <w:rPr>
          <w:sz w:val="24"/>
          <w:szCs w:val="24"/>
        </w:rPr>
        <w:t>(</w:t>
      </w:r>
      <w:r w:rsidR="00CF3231">
        <w:rPr>
          <w:sz w:val="24"/>
          <w:szCs w:val="24"/>
        </w:rPr>
        <w:t>almost a third</w:t>
      </w:r>
      <w:r w:rsidR="1B3A6ECF" w:rsidRPr="436E9498">
        <w:rPr>
          <w:sz w:val="24"/>
          <w:szCs w:val="24"/>
        </w:rPr>
        <w:t>)</w:t>
      </w:r>
      <w:r w:rsidRPr="436E9498">
        <w:rPr>
          <w:sz w:val="24"/>
          <w:szCs w:val="24"/>
        </w:rPr>
        <w:t xml:space="preserve"> are not correctly risk adjusted may explain the disparity between the low crude mortality and the apparently high risk-adjusted mortality.</w:t>
      </w:r>
    </w:p>
    <w:p w14:paraId="4101652C" w14:textId="77777777" w:rsidR="00E7079D" w:rsidRDefault="00E7079D">
      <w:pPr>
        <w:pStyle w:val="BodyA"/>
        <w:jc w:val="both"/>
        <w:rPr>
          <w:sz w:val="24"/>
          <w:szCs w:val="24"/>
        </w:rPr>
      </w:pPr>
    </w:p>
    <w:p w14:paraId="67F33603" w14:textId="77777777" w:rsidR="00E7079D" w:rsidRDefault="00AB3E57">
      <w:pPr>
        <w:pStyle w:val="BodyA"/>
        <w:jc w:val="both"/>
        <w:rPr>
          <w:sz w:val="24"/>
          <w:szCs w:val="24"/>
        </w:rPr>
      </w:pPr>
      <w:r>
        <w:rPr>
          <w:sz w:val="24"/>
          <w:szCs w:val="24"/>
        </w:rPr>
        <w:t xml:space="preserve">In relation to the </w:t>
      </w:r>
      <w:r>
        <w:rPr>
          <w:i/>
          <w:iCs/>
          <w:sz w:val="24"/>
          <w:szCs w:val="24"/>
        </w:rPr>
        <w:t>qualitative</w:t>
      </w:r>
      <w:r>
        <w:rPr>
          <w:sz w:val="24"/>
          <w:szCs w:val="24"/>
        </w:rPr>
        <w:t xml:space="preserve"> review of deaths, MKUH has established a Medical Examiners’ Office (MEO) which: </w:t>
      </w:r>
    </w:p>
    <w:p w14:paraId="4B99056E" w14:textId="77777777" w:rsidR="00E7079D" w:rsidRDefault="00E7079D">
      <w:pPr>
        <w:pStyle w:val="BodyA"/>
        <w:jc w:val="both"/>
        <w:rPr>
          <w:sz w:val="24"/>
          <w:szCs w:val="24"/>
        </w:rPr>
      </w:pPr>
    </w:p>
    <w:p w14:paraId="22217A17" w14:textId="77777777" w:rsidR="00E7079D" w:rsidRDefault="00AB3E57">
      <w:pPr>
        <w:pStyle w:val="BodyA"/>
        <w:numPr>
          <w:ilvl w:val="0"/>
          <w:numId w:val="6"/>
        </w:numPr>
        <w:jc w:val="both"/>
        <w:rPr>
          <w:sz w:val="24"/>
          <w:szCs w:val="24"/>
        </w:rPr>
      </w:pPr>
      <w:r>
        <w:rPr>
          <w:sz w:val="24"/>
          <w:szCs w:val="24"/>
        </w:rPr>
        <w:t>reviews all hospital deaths and is expanding its role to review community deaths</w:t>
      </w:r>
    </w:p>
    <w:p w14:paraId="27C0A3B0" w14:textId="77777777" w:rsidR="00E7079D" w:rsidRDefault="00AB3E57">
      <w:pPr>
        <w:pStyle w:val="BodyA"/>
        <w:numPr>
          <w:ilvl w:val="0"/>
          <w:numId w:val="6"/>
        </w:numPr>
        <w:jc w:val="both"/>
        <w:rPr>
          <w:sz w:val="24"/>
          <w:szCs w:val="24"/>
        </w:rPr>
      </w:pPr>
      <w:r>
        <w:rPr>
          <w:sz w:val="24"/>
          <w:szCs w:val="24"/>
        </w:rPr>
        <w:t>issues Medical Certificates of Cause of Death (MCCD) in conjunction with the primary doctor;</w:t>
      </w:r>
    </w:p>
    <w:p w14:paraId="6EA23F1A" w14:textId="77777777" w:rsidR="00E7079D" w:rsidRDefault="00AB3E57">
      <w:pPr>
        <w:pStyle w:val="BodyA"/>
        <w:numPr>
          <w:ilvl w:val="0"/>
          <w:numId w:val="6"/>
        </w:numPr>
        <w:jc w:val="both"/>
        <w:rPr>
          <w:sz w:val="24"/>
          <w:szCs w:val="24"/>
        </w:rPr>
      </w:pPr>
      <w:r>
        <w:rPr>
          <w:sz w:val="24"/>
          <w:szCs w:val="24"/>
        </w:rPr>
        <w:t xml:space="preserve">liaises with / refers to the Coroner’s Office; and, </w:t>
      </w:r>
    </w:p>
    <w:p w14:paraId="7AD04ACA" w14:textId="77777777" w:rsidR="00E7079D" w:rsidRDefault="00AB3E57">
      <w:pPr>
        <w:pStyle w:val="BodyA"/>
        <w:numPr>
          <w:ilvl w:val="0"/>
          <w:numId w:val="6"/>
        </w:numPr>
        <w:jc w:val="both"/>
        <w:rPr>
          <w:sz w:val="24"/>
          <w:szCs w:val="24"/>
        </w:rPr>
      </w:pPr>
      <w:r>
        <w:rPr>
          <w:sz w:val="24"/>
          <w:szCs w:val="24"/>
        </w:rPr>
        <w:t>requests Structured Judgement Reviews (SJRs) from medical teams where potential concerns are raised by clinicians, family members or MEs.</w:t>
      </w:r>
    </w:p>
    <w:p w14:paraId="1299C43A" w14:textId="77777777" w:rsidR="00E7079D" w:rsidRDefault="00E7079D">
      <w:pPr>
        <w:pStyle w:val="BodyA"/>
        <w:ind w:left="720"/>
        <w:jc w:val="both"/>
        <w:rPr>
          <w:sz w:val="24"/>
          <w:szCs w:val="24"/>
        </w:rPr>
      </w:pPr>
    </w:p>
    <w:p w14:paraId="66B7EFAC" w14:textId="40A52F05" w:rsidR="00E7079D" w:rsidRDefault="436E9498" w:rsidP="436E9498">
      <w:pPr>
        <w:pStyle w:val="BodyA"/>
        <w:jc w:val="both"/>
        <w:rPr>
          <w:rFonts w:ascii="Arial Unicode MS" w:eastAsia="Arial Unicode MS" w:hAnsi="Arial Unicode MS" w:cs="Arial Unicode MS"/>
          <w:u w:val="single"/>
        </w:rPr>
      </w:pPr>
      <w:r w:rsidRPr="436E9498">
        <w:rPr>
          <w:sz w:val="24"/>
          <w:szCs w:val="24"/>
        </w:rPr>
        <w:t>The system is being expanded nationally to include review of all community deaths. This was initially anticipated to be complete by April 2023, but is now expected to become statutory in April 2024. The MEO is well placed to comply with this.</w:t>
      </w:r>
    </w:p>
    <w:p w14:paraId="6B49133C" w14:textId="6326080D" w:rsidR="00E7079D" w:rsidRDefault="00E7079D" w:rsidP="436E9498">
      <w:pPr>
        <w:pStyle w:val="BodyA"/>
      </w:pPr>
    </w:p>
    <w:p w14:paraId="41DD9F6A" w14:textId="21ECF6D5" w:rsidR="00E7079D" w:rsidRDefault="00E7079D" w:rsidP="436E9498">
      <w:pPr>
        <w:pStyle w:val="BodyA"/>
      </w:pPr>
    </w:p>
    <w:p w14:paraId="09EB8023" w14:textId="5E69BA83" w:rsidR="00E7079D" w:rsidRDefault="00E7079D" w:rsidP="436E9498">
      <w:pPr>
        <w:pStyle w:val="BodyA"/>
      </w:pPr>
    </w:p>
    <w:p w14:paraId="7A66EF42" w14:textId="661ED756" w:rsidR="00E7079D" w:rsidRDefault="00E7079D" w:rsidP="436E9498">
      <w:pPr>
        <w:pStyle w:val="BodyA"/>
        <w:rPr>
          <w:b/>
          <w:bCs/>
          <w:sz w:val="24"/>
          <w:szCs w:val="24"/>
          <w:u w:val="single"/>
        </w:rPr>
      </w:pPr>
    </w:p>
    <w:p w14:paraId="7CD5468C" w14:textId="59961B1C" w:rsidR="00E7079D" w:rsidRDefault="436E9498" w:rsidP="436E9498">
      <w:pPr>
        <w:pStyle w:val="BodyA"/>
        <w:rPr>
          <w:b/>
          <w:bCs/>
          <w:sz w:val="24"/>
          <w:szCs w:val="24"/>
          <w:u w:val="single"/>
        </w:rPr>
      </w:pPr>
      <w:r w:rsidRPr="436E9498">
        <w:rPr>
          <w:b/>
          <w:bCs/>
          <w:sz w:val="24"/>
          <w:szCs w:val="24"/>
          <w:u w:val="single"/>
        </w:rPr>
        <w:t>Main Report:</w:t>
      </w:r>
    </w:p>
    <w:p w14:paraId="4DDBEF00" w14:textId="77777777" w:rsidR="00E7079D" w:rsidRDefault="00E7079D">
      <w:pPr>
        <w:pStyle w:val="BodyA"/>
        <w:jc w:val="both"/>
        <w:rPr>
          <w:b/>
          <w:bCs/>
          <w:sz w:val="24"/>
          <w:szCs w:val="24"/>
          <w:u w:val="single"/>
        </w:rPr>
      </w:pPr>
    </w:p>
    <w:p w14:paraId="604EF295" w14:textId="77777777" w:rsidR="00E7079D" w:rsidRDefault="436E9498" w:rsidP="436E9498">
      <w:pPr>
        <w:pStyle w:val="BodyA"/>
        <w:jc w:val="both"/>
        <w:rPr>
          <w:b/>
          <w:bCs/>
          <w:sz w:val="24"/>
          <w:szCs w:val="24"/>
        </w:rPr>
      </w:pPr>
      <w:r w:rsidRPr="436E9498">
        <w:rPr>
          <w:b/>
          <w:bCs/>
          <w:sz w:val="24"/>
          <w:szCs w:val="24"/>
        </w:rPr>
        <w:t>Quantitative data relating to mortality</w:t>
      </w:r>
    </w:p>
    <w:p w14:paraId="3461D779" w14:textId="77777777" w:rsidR="00E7079D" w:rsidRDefault="00E7079D">
      <w:pPr>
        <w:pStyle w:val="BodyA"/>
        <w:jc w:val="both"/>
        <w:rPr>
          <w:b/>
          <w:bCs/>
          <w:sz w:val="24"/>
          <w:szCs w:val="24"/>
          <w:u w:val="single"/>
        </w:rPr>
      </w:pPr>
    </w:p>
    <w:p w14:paraId="241BDDBF" w14:textId="77777777" w:rsidR="00E7079D" w:rsidRDefault="00AB3E57">
      <w:pPr>
        <w:pStyle w:val="BodyA"/>
        <w:jc w:val="both"/>
        <w:rPr>
          <w:sz w:val="24"/>
          <w:szCs w:val="24"/>
        </w:rPr>
      </w:pPr>
      <w:r>
        <w:rPr>
          <w:sz w:val="24"/>
          <w:szCs w:val="24"/>
        </w:rPr>
        <w:t xml:space="preserve">Crude mortality data are shown in </w:t>
      </w:r>
      <w:r>
        <w:rPr>
          <w:b/>
          <w:bCs/>
          <w:sz w:val="24"/>
          <w:szCs w:val="24"/>
        </w:rPr>
        <w:t>Appendix 2a</w:t>
      </w:r>
      <w:r>
        <w:rPr>
          <w:sz w:val="24"/>
          <w:szCs w:val="24"/>
        </w:rPr>
        <w:t xml:space="preserve">. </w:t>
      </w:r>
    </w:p>
    <w:p w14:paraId="3CF2D8B6" w14:textId="77777777" w:rsidR="00E7079D" w:rsidRDefault="00E7079D">
      <w:pPr>
        <w:pStyle w:val="BodyA"/>
        <w:jc w:val="both"/>
        <w:rPr>
          <w:sz w:val="24"/>
          <w:szCs w:val="24"/>
        </w:rPr>
      </w:pPr>
    </w:p>
    <w:p w14:paraId="1FD36546" w14:textId="77777777" w:rsidR="00E7079D" w:rsidRDefault="00AB3E57">
      <w:pPr>
        <w:pStyle w:val="BodyA"/>
        <w:jc w:val="both"/>
        <w:rPr>
          <w:sz w:val="24"/>
          <w:szCs w:val="24"/>
        </w:rPr>
      </w:pPr>
      <w:r>
        <w:rPr>
          <w:sz w:val="24"/>
          <w:szCs w:val="24"/>
        </w:rPr>
        <w:t xml:space="preserve">HSMR data (supplied by CHKS) covering the </w:t>
      </w:r>
      <w:r>
        <w:rPr>
          <w:sz w:val="24"/>
          <w:szCs w:val="24"/>
        </w:rPr>
        <w:t>period</w:t>
      </w:r>
      <w:r>
        <w:rPr>
          <w:sz w:val="24"/>
          <w:szCs w:val="24"/>
          <w:lang w:val="it-IT"/>
        </w:rPr>
        <w:t xml:space="preserve"> September</w:t>
      </w:r>
      <w:r>
        <w:rPr>
          <w:sz w:val="24"/>
          <w:szCs w:val="24"/>
        </w:rPr>
        <w:t xml:space="preserve"> 2022 – August 2023 are shown in </w:t>
      </w:r>
      <w:r>
        <w:rPr>
          <w:b/>
          <w:bCs/>
          <w:sz w:val="24"/>
          <w:szCs w:val="24"/>
        </w:rPr>
        <w:t>Appendices 2a and 2b</w:t>
      </w:r>
      <w:r>
        <w:rPr>
          <w:sz w:val="24"/>
          <w:szCs w:val="24"/>
        </w:rPr>
        <w:t xml:space="preserve">. </w:t>
      </w:r>
    </w:p>
    <w:p w14:paraId="0FB78278" w14:textId="77777777" w:rsidR="00E7079D" w:rsidRDefault="00E7079D">
      <w:pPr>
        <w:pStyle w:val="BodyA"/>
        <w:jc w:val="both"/>
        <w:rPr>
          <w:sz w:val="24"/>
          <w:szCs w:val="24"/>
        </w:rPr>
      </w:pPr>
    </w:p>
    <w:p w14:paraId="68E3876A" w14:textId="77777777" w:rsidR="00E7079D" w:rsidRDefault="00AB3E57">
      <w:pPr>
        <w:pStyle w:val="BodyA"/>
        <w:jc w:val="both"/>
        <w:rPr>
          <w:sz w:val="24"/>
          <w:szCs w:val="24"/>
        </w:rPr>
      </w:pPr>
      <w:r>
        <w:rPr>
          <w:sz w:val="24"/>
          <w:szCs w:val="24"/>
        </w:rPr>
        <w:t>SHMI data (supplied by NHS Digital / CHKS) covering the period</w:t>
      </w:r>
      <w:r>
        <w:rPr>
          <w:sz w:val="24"/>
          <w:szCs w:val="24"/>
          <w:lang w:val="it-IT"/>
        </w:rPr>
        <w:t xml:space="preserve"> </w:t>
      </w:r>
      <w:r>
        <w:rPr>
          <w:sz w:val="24"/>
          <w:szCs w:val="24"/>
        </w:rPr>
        <w:t>June 2022 – May 2023</w:t>
      </w:r>
      <w:r>
        <w:rPr>
          <w:b/>
          <w:bCs/>
          <w:sz w:val="24"/>
          <w:szCs w:val="24"/>
        </w:rPr>
        <w:t xml:space="preserve"> </w:t>
      </w:r>
      <w:r>
        <w:rPr>
          <w:sz w:val="24"/>
          <w:szCs w:val="24"/>
        </w:rPr>
        <w:t xml:space="preserve">are shown in </w:t>
      </w:r>
      <w:r>
        <w:rPr>
          <w:b/>
          <w:bCs/>
          <w:sz w:val="24"/>
          <w:szCs w:val="24"/>
        </w:rPr>
        <w:t>Appendices 2a and 2c</w:t>
      </w:r>
      <w:r>
        <w:rPr>
          <w:sz w:val="24"/>
          <w:szCs w:val="24"/>
        </w:rPr>
        <w:t xml:space="preserve">. </w:t>
      </w:r>
    </w:p>
    <w:p w14:paraId="1FC39945" w14:textId="77777777" w:rsidR="00E7079D" w:rsidRDefault="00E7079D">
      <w:pPr>
        <w:pStyle w:val="BodyA"/>
        <w:jc w:val="both"/>
        <w:rPr>
          <w:sz w:val="24"/>
          <w:szCs w:val="24"/>
        </w:rPr>
      </w:pPr>
    </w:p>
    <w:p w14:paraId="4D689B8A" w14:textId="706C7E85" w:rsidR="00E7079D" w:rsidRDefault="436E9498" w:rsidP="436E9498">
      <w:pPr>
        <w:pStyle w:val="BodyA"/>
        <w:jc w:val="both"/>
        <w:rPr>
          <w:sz w:val="24"/>
          <w:szCs w:val="24"/>
        </w:rPr>
      </w:pPr>
      <w:r w:rsidRPr="436E9498">
        <w:rPr>
          <w:sz w:val="24"/>
          <w:szCs w:val="24"/>
        </w:rPr>
        <w:t xml:space="preserve">Since last year’s Board Mortality Report, </w:t>
      </w:r>
      <w:r w:rsidR="65271AC0" w:rsidRPr="436E9498">
        <w:rPr>
          <w:sz w:val="24"/>
          <w:szCs w:val="24"/>
        </w:rPr>
        <w:t>s</w:t>
      </w:r>
      <w:r w:rsidRPr="436E9498">
        <w:rPr>
          <w:sz w:val="24"/>
          <w:szCs w:val="24"/>
        </w:rPr>
        <w:t>epsis, both as a primary diagnosis, and as ‘any diagnosis’ during a hospital spell, has been added to the mortality dashboard (Appendix 2a.) This is in response to coronial concerns regarding the recognition of the deteriorating patient and treatment of sepsis. The Trust is in the ‘first quartile’ for sepsis as a primary diagnosis and ‘mid-range’ for sepsis as ‘any diagnosis.’</w:t>
      </w:r>
      <w:r w:rsidR="496895B0" w:rsidRPr="436E9498">
        <w:rPr>
          <w:sz w:val="24"/>
          <w:szCs w:val="24"/>
        </w:rPr>
        <w:t xml:space="preserve"> In addition, SJRs (see </w:t>
      </w:r>
      <w:proofErr w:type="spellStart"/>
      <w:r w:rsidR="496895B0" w:rsidRPr="436E9498">
        <w:rPr>
          <w:sz w:val="24"/>
          <w:szCs w:val="24"/>
        </w:rPr>
        <w:t>qualititative</w:t>
      </w:r>
      <w:proofErr w:type="spellEnd"/>
      <w:r w:rsidR="496895B0" w:rsidRPr="436E9498">
        <w:rPr>
          <w:sz w:val="24"/>
          <w:szCs w:val="24"/>
        </w:rPr>
        <w:t xml:space="preserve"> mortality review section), are requested in all patients where sepsis was the cause </w:t>
      </w:r>
      <w:r w:rsidR="23CBFFF2" w:rsidRPr="436E9498">
        <w:rPr>
          <w:sz w:val="24"/>
          <w:szCs w:val="24"/>
        </w:rPr>
        <w:t>of or</w:t>
      </w:r>
      <w:r w:rsidR="496895B0" w:rsidRPr="436E9498">
        <w:rPr>
          <w:sz w:val="24"/>
          <w:szCs w:val="24"/>
        </w:rPr>
        <w:t xml:space="preserve"> contributed to death</w:t>
      </w:r>
      <w:r w:rsidR="4E6E579F" w:rsidRPr="436E9498">
        <w:rPr>
          <w:sz w:val="24"/>
          <w:szCs w:val="24"/>
        </w:rPr>
        <w:t>.</w:t>
      </w:r>
      <w:r w:rsidR="031E728B" w:rsidRPr="436E9498">
        <w:rPr>
          <w:sz w:val="24"/>
          <w:szCs w:val="24"/>
        </w:rPr>
        <w:t xml:space="preserve"> </w:t>
      </w:r>
    </w:p>
    <w:p w14:paraId="0562CB0E" w14:textId="77777777" w:rsidR="00E7079D" w:rsidRDefault="00E7079D">
      <w:pPr>
        <w:pStyle w:val="BodyA"/>
        <w:jc w:val="both"/>
        <w:rPr>
          <w:sz w:val="24"/>
          <w:szCs w:val="24"/>
        </w:rPr>
      </w:pPr>
    </w:p>
    <w:p w14:paraId="6EE84C76" w14:textId="77777777" w:rsidR="00E7079D" w:rsidRDefault="00AB3E57">
      <w:pPr>
        <w:pStyle w:val="BodyA"/>
        <w:jc w:val="both"/>
        <w:rPr>
          <w:sz w:val="24"/>
          <w:szCs w:val="24"/>
        </w:rPr>
      </w:pPr>
      <w:r>
        <w:rPr>
          <w:sz w:val="24"/>
          <w:szCs w:val="24"/>
        </w:rPr>
        <w:t xml:space="preserve">Relevant contextual points in understanding the underlying data include: </w:t>
      </w:r>
    </w:p>
    <w:p w14:paraId="30E051AC" w14:textId="77777777" w:rsidR="00E7079D" w:rsidRDefault="00AB3E57">
      <w:pPr>
        <w:pStyle w:val="ListParagraph"/>
        <w:numPr>
          <w:ilvl w:val="0"/>
          <w:numId w:val="8"/>
        </w:numPr>
        <w:shd w:val="clear" w:color="auto" w:fill="FFFFFF"/>
        <w:spacing w:before="100" w:after="100"/>
        <w:rPr>
          <w:sz w:val="24"/>
          <w:szCs w:val="24"/>
        </w:rPr>
      </w:pPr>
      <w:r>
        <w:rPr>
          <w:sz w:val="24"/>
          <w:szCs w:val="24"/>
        </w:rPr>
        <w:t xml:space="preserve">Palliative care coding was previously high compared to the national peer position but is now ‘mid-range.’ Work has previously been undertaken to demonstrate that the palliative care team only becomes involved in appropriate cases. </w:t>
      </w:r>
    </w:p>
    <w:p w14:paraId="34E5F3A8" w14:textId="4931CD72" w:rsidR="436E9498" w:rsidRDefault="436E9498" w:rsidP="436E9498">
      <w:pPr>
        <w:pStyle w:val="ListParagraph"/>
        <w:numPr>
          <w:ilvl w:val="0"/>
          <w:numId w:val="8"/>
        </w:numPr>
        <w:shd w:val="clear" w:color="auto" w:fill="FFFFFF" w:themeFill="background1"/>
        <w:spacing w:before="100" w:after="100"/>
        <w:rPr>
          <w:color w:val="000000" w:themeColor="text1"/>
        </w:rPr>
      </w:pPr>
      <w:r w:rsidRPr="436E9498">
        <w:rPr>
          <w:sz w:val="24"/>
          <w:szCs w:val="24"/>
        </w:rPr>
        <w:t>Coding depth is in line with the peer position, with an average of 6.9 diagnoses per Finished Consultant Episode (FCE).</w:t>
      </w:r>
    </w:p>
    <w:p w14:paraId="5A41840F" w14:textId="0524CB19" w:rsidR="6635BCAA" w:rsidRDefault="6635BCAA" w:rsidP="436E9498">
      <w:pPr>
        <w:pStyle w:val="ListParagraph"/>
        <w:numPr>
          <w:ilvl w:val="0"/>
          <w:numId w:val="8"/>
        </w:numPr>
        <w:rPr>
          <w:sz w:val="24"/>
          <w:szCs w:val="24"/>
        </w:rPr>
      </w:pPr>
      <w:r w:rsidRPr="436E9498">
        <w:rPr>
          <w:sz w:val="24"/>
          <w:szCs w:val="24"/>
        </w:rPr>
        <w:t xml:space="preserve">Completeness </w:t>
      </w:r>
      <w:r w:rsidR="04225FB9" w:rsidRPr="436E9498">
        <w:rPr>
          <w:sz w:val="24"/>
          <w:szCs w:val="24"/>
        </w:rPr>
        <w:t xml:space="preserve">of coding limits the </w:t>
      </w:r>
      <w:r w:rsidR="319D19E8" w:rsidRPr="436E9498">
        <w:rPr>
          <w:sz w:val="24"/>
          <w:szCs w:val="24"/>
        </w:rPr>
        <w:t>accuracy and utility</w:t>
      </w:r>
      <w:r w:rsidR="04225FB9" w:rsidRPr="436E9498">
        <w:rPr>
          <w:sz w:val="24"/>
          <w:szCs w:val="24"/>
        </w:rPr>
        <w:t xml:space="preserve"> of risk-adjusted </w:t>
      </w:r>
      <w:r w:rsidR="6375ECED" w:rsidRPr="436E9498">
        <w:rPr>
          <w:sz w:val="24"/>
          <w:szCs w:val="24"/>
        </w:rPr>
        <w:t xml:space="preserve">mortality </w:t>
      </w:r>
      <w:r w:rsidR="04225FB9" w:rsidRPr="436E9498">
        <w:rPr>
          <w:sz w:val="24"/>
          <w:szCs w:val="24"/>
        </w:rPr>
        <w:t>indices</w:t>
      </w:r>
      <w:r w:rsidR="5D926E0F" w:rsidRPr="436E9498">
        <w:rPr>
          <w:sz w:val="24"/>
          <w:szCs w:val="24"/>
        </w:rPr>
        <w:t xml:space="preserve">. MKUH has </w:t>
      </w:r>
      <w:r w:rsidR="00DB3713">
        <w:rPr>
          <w:sz w:val="24"/>
          <w:szCs w:val="24"/>
        </w:rPr>
        <w:t>a relatively</w:t>
      </w:r>
      <w:r w:rsidR="00DB3713">
        <w:rPr>
          <w:sz w:val="24"/>
          <w:szCs w:val="24"/>
        </w:rPr>
        <w:tab/>
      </w:r>
      <w:r w:rsidR="5D926E0F" w:rsidRPr="436E9498">
        <w:rPr>
          <w:sz w:val="24"/>
          <w:szCs w:val="24"/>
        </w:rPr>
        <w:t>high number of SHMI spells</w:t>
      </w:r>
      <w:r w:rsidR="016C2A1C" w:rsidRPr="436E9498">
        <w:rPr>
          <w:sz w:val="24"/>
          <w:szCs w:val="24"/>
        </w:rPr>
        <w:t xml:space="preserve"> with an uncoded primary diagnosis</w:t>
      </w:r>
      <w:r w:rsidR="5D926E0F" w:rsidRPr="436E9498">
        <w:rPr>
          <w:sz w:val="24"/>
          <w:szCs w:val="24"/>
        </w:rPr>
        <w:t xml:space="preserve"> among</w:t>
      </w:r>
      <w:r w:rsidR="00B13D14">
        <w:rPr>
          <w:sz w:val="24"/>
          <w:szCs w:val="24"/>
        </w:rPr>
        <w:t>st</w:t>
      </w:r>
      <w:r w:rsidR="5D926E0F" w:rsidRPr="436E9498">
        <w:rPr>
          <w:sz w:val="24"/>
          <w:szCs w:val="24"/>
        </w:rPr>
        <w:t xml:space="preserve"> NHS Trusts</w:t>
      </w:r>
      <w:r w:rsidR="141BBB26" w:rsidRPr="436E9498">
        <w:rPr>
          <w:sz w:val="24"/>
          <w:szCs w:val="24"/>
        </w:rPr>
        <w:t>. This</w:t>
      </w:r>
      <w:r w:rsidR="5D926E0F" w:rsidRPr="436E9498">
        <w:rPr>
          <w:sz w:val="24"/>
          <w:szCs w:val="24"/>
        </w:rPr>
        <w:t xml:space="preserve"> result</w:t>
      </w:r>
      <w:r w:rsidR="5A9E0C7D" w:rsidRPr="436E9498">
        <w:rPr>
          <w:sz w:val="24"/>
          <w:szCs w:val="24"/>
        </w:rPr>
        <w:t>s</w:t>
      </w:r>
      <w:r w:rsidR="5D926E0F" w:rsidRPr="436E9498">
        <w:rPr>
          <w:sz w:val="24"/>
          <w:szCs w:val="24"/>
        </w:rPr>
        <w:t xml:space="preserve"> in large numbers of episodes </w:t>
      </w:r>
      <w:r w:rsidR="7041FF19" w:rsidRPr="436E9498">
        <w:rPr>
          <w:sz w:val="24"/>
          <w:szCs w:val="24"/>
        </w:rPr>
        <w:t>being incorrectly risk adjusted</w:t>
      </w:r>
      <w:r w:rsidR="39AF1B4F" w:rsidRPr="436E9498">
        <w:rPr>
          <w:sz w:val="24"/>
          <w:szCs w:val="24"/>
        </w:rPr>
        <w:t>, elevating the apparent values for SHMI. Discussions between NHS England and the clinical coding department are being arranged to understand and improve the pictur</w:t>
      </w:r>
      <w:r w:rsidR="5ADC3872" w:rsidRPr="436E9498">
        <w:rPr>
          <w:sz w:val="24"/>
          <w:szCs w:val="24"/>
        </w:rPr>
        <w:t>e.</w:t>
      </w:r>
      <w:r w:rsidRPr="436E9498">
        <w:rPr>
          <w:sz w:val="24"/>
          <w:szCs w:val="24"/>
        </w:rPr>
        <w:t xml:space="preserve"> </w:t>
      </w:r>
      <w:r w:rsidR="3931C699" w:rsidRPr="436E9498">
        <w:rPr>
          <w:sz w:val="24"/>
          <w:szCs w:val="24"/>
        </w:rPr>
        <w:t xml:space="preserve">See </w:t>
      </w:r>
      <w:r w:rsidR="3931C699" w:rsidRPr="436E9498">
        <w:rPr>
          <w:b/>
          <w:bCs/>
          <w:sz w:val="24"/>
          <w:szCs w:val="24"/>
        </w:rPr>
        <w:t>Appendix 3</w:t>
      </w:r>
    </w:p>
    <w:p w14:paraId="431E6B17" w14:textId="77777777" w:rsidR="00E7079D" w:rsidRDefault="436E9498">
      <w:pPr>
        <w:pStyle w:val="ListParagraph"/>
        <w:numPr>
          <w:ilvl w:val="0"/>
          <w:numId w:val="8"/>
        </w:numPr>
        <w:shd w:val="clear" w:color="auto" w:fill="FFFFFF"/>
        <w:spacing w:before="100" w:after="100"/>
        <w:rPr>
          <w:sz w:val="24"/>
          <w:szCs w:val="24"/>
        </w:rPr>
      </w:pPr>
      <w:r w:rsidRPr="436E9498">
        <w:rPr>
          <w:sz w:val="24"/>
          <w:szCs w:val="24"/>
        </w:rPr>
        <w:t xml:space="preserve">‘Sign or symptom’ coding (where signs or symptoms rather than an actual diagnosis are associated with the patient’s episode of care) is high compared to the peer position, with 10.7% of admissions having a sign or symptom as a primary diagnosis compared to the national average of 9.1%. </w:t>
      </w:r>
    </w:p>
    <w:p w14:paraId="34CE0A41" w14:textId="11DEB1E1" w:rsidR="00E7079D" w:rsidRDefault="436E9498" w:rsidP="436E9498">
      <w:pPr>
        <w:pStyle w:val="ListParagraph"/>
        <w:numPr>
          <w:ilvl w:val="0"/>
          <w:numId w:val="8"/>
        </w:numPr>
        <w:shd w:val="clear" w:color="auto" w:fill="FFFFFF" w:themeFill="background1"/>
        <w:spacing w:before="100" w:after="100"/>
        <w:rPr>
          <w:sz w:val="24"/>
          <w:szCs w:val="24"/>
        </w:rPr>
      </w:pPr>
      <w:r w:rsidRPr="436E9498">
        <w:rPr>
          <w:sz w:val="24"/>
          <w:szCs w:val="24"/>
        </w:rPr>
        <w:t>Percentage of ‘zero-day length of stay admissions via the Emergency Department’ was historically low compared to peer but has moved through mid-range in the last year and is now high. This was initially a result of changes to the recording of attendances at the Ambulatory Emergency Care Unit (AECU), which previously gave artificially low values for MKUH. The opening of the Maple Unit and the Same Day Emergency Care ward are likely to have contributed to this change.</w:t>
      </w:r>
    </w:p>
    <w:p w14:paraId="5A8ECCC0" w14:textId="460564E7" w:rsidR="436E9498" w:rsidRDefault="436E9498" w:rsidP="436E9498">
      <w:pPr>
        <w:pStyle w:val="ListParagraph"/>
      </w:pPr>
    </w:p>
    <w:p w14:paraId="15A26EE6" w14:textId="6A3C2925" w:rsidR="00E7079D" w:rsidRDefault="436E9498" w:rsidP="436E9498">
      <w:pPr>
        <w:pStyle w:val="Body"/>
        <w:shd w:val="clear" w:color="auto" w:fill="FFFFFF" w:themeFill="background1"/>
        <w:spacing w:before="100" w:after="100"/>
        <w:rPr>
          <w:rFonts w:ascii="Arial" w:eastAsia="Arial" w:hAnsi="Arial" w:cs="Arial"/>
        </w:rPr>
      </w:pPr>
      <w:r w:rsidRPr="436E9498">
        <w:rPr>
          <w:rFonts w:ascii="Arial" w:hAnsi="Arial"/>
        </w:rPr>
        <w:t>Subset analysis of HSMR or SHMI (based on the ‘56 diagnostic baskets’ making up HSMR, or 142 diagnostic groups making up SHMI) intermittently flag</w:t>
      </w:r>
      <w:r w:rsidR="54F9D430" w:rsidRPr="436E9498">
        <w:rPr>
          <w:rFonts w:ascii="Arial" w:hAnsi="Arial"/>
        </w:rPr>
        <w:t>s</w:t>
      </w:r>
      <w:r w:rsidRPr="436E9498">
        <w:rPr>
          <w:rFonts w:ascii="Arial" w:hAnsi="Arial"/>
        </w:rPr>
        <w:t xml:space="preserve"> outlier status. Any outlier flags are reviewed and discussed at the Mortality Review Group</w:t>
      </w:r>
      <w:r w:rsidR="2A5E3D16" w:rsidRPr="436E9498">
        <w:rPr>
          <w:rFonts w:ascii="Arial" w:hAnsi="Arial"/>
        </w:rPr>
        <w:t xml:space="preserve"> (MRG)</w:t>
      </w:r>
      <w:r w:rsidRPr="436E9498">
        <w:rPr>
          <w:rFonts w:ascii="Arial" w:hAnsi="Arial"/>
        </w:rPr>
        <w:t xml:space="preserve">. Current flags include pneumonia, </w:t>
      </w:r>
      <w:r w:rsidR="10F13897" w:rsidRPr="436E9498">
        <w:rPr>
          <w:rFonts w:ascii="Arial" w:hAnsi="Arial"/>
        </w:rPr>
        <w:t>fractured</w:t>
      </w:r>
      <w:r w:rsidRPr="436E9498">
        <w:rPr>
          <w:rFonts w:ascii="Arial" w:hAnsi="Arial"/>
        </w:rPr>
        <w:t xml:space="preserve"> neck-of-femur and perinatal mortality. There are currently no flags that – following screening and analysis </w:t>
      </w:r>
      <w:r w:rsidR="675CA677" w:rsidRPr="436E9498">
        <w:rPr>
          <w:rFonts w:ascii="Arial" w:hAnsi="Arial"/>
        </w:rPr>
        <w:t>of individual patient records</w:t>
      </w:r>
      <w:r w:rsidRPr="436E9498">
        <w:rPr>
          <w:rFonts w:ascii="Arial" w:hAnsi="Arial"/>
        </w:rPr>
        <w:t>– lead the MRG to have cause of concern in respect of care quality.</w:t>
      </w:r>
    </w:p>
    <w:p w14:paraId="7EE6E3F3" w14:textId="2C1F7721" w:rsidR="436E9498" w:rsidRDefault="436E9498" w:rsidP="436E9498">
      <w:pPr>
        <w:pStyle w:val="Body"/>
        <w:jc w:val="center"/>
        <w:rPr>
          <w:b/>
          <w:bCs/>
          <w:color w:val="000000" w:themeColor="text1"/>
        </w:rPr>
      </w:pPr>
    </w:p>
    <w:p w14:paraId="2B57DBCC" w14:textId="20BACDE6" w:rsidR="436E9498" w:rsidRDefault="436E9498" w:rsidP="436E9498">
      <w:pPr>
        <w:pStyle w:val="Body"/>
        <w:rPr>
          <w:rFonts w:ascii="Arial" w:hAnsi="Arial"/>
          <w:i/>
          <w:iCs/>
          <w:lang w:val="it-IT"/>
        </w:rPr>
      </w:pPr>
    </w:p>
    <w:p w14:paraId="527C6AFA" w14:textId="77777777" w:rsidR="00E7079D" w:rsidRDefault="436E9498" w:rsidP="436E9498">
      <w:pPr>
        <w:pStyle w:val="Body"/>
        <w:rPr>
          <w:rFonts w:ascii="Arial" w:eastAsia="Arial" w:hAnsi="Arial" w:cs="Arial"/>
          <w:b/>
          <w:bCs/>
          <w14:textOutline w14:w="12700" w14:cap="flat" w14:cmpd="sng" w14:algn="ctr">
            <w14:noFill/>
            <w14:prstDash w14:val="solid"/>
            <w14:miter w14:lim="400000"/>
          </w14:textOutline>
        </w:rPr>
      </w:pPr>
      <w:proofErr w:type="spellStart"/>
      <w:r w:rsidRPr="436E9498">
        <w:rPr>
          <w:rFonts w:ascii="Arial" w:hAnsi="Arial"/>
          <w:b/>
          <w:bCs/>
          <w:lang w:val="it-IT"/>
        </w:rPr>
        <w:t>Perinatal</w:t>
      </w:r>
      <w:proofErr w:type="spellEnd"/>
      <w:r w:rsidRPr="436E9498">
        <w:rPr>
          <w:rFonts w:ascii="Arial" w:hAnsi="Arial"/>
          <w:b/>
          <w:bCs/>
          <w:lang w:val="it-IT"/>
        </w:rPr>
        <w:t xml:space="preserve"> </w:t>
      </w:r>
      <w:proofErr w:type="spellStart"/>
      <w:r w:rsidRPr="436E9498">
        <w:rPr>
          <w:rFonts w:ascii="Arial" w:hAnsi="Arial"/>
          <w:b/>
          <w:bCs/>
          <w:lang w:val="it-IT"/>
        </w:rPr>
        <w:t>Mortality</w:t>
      </w:r>
      <w:proofErr w:type="spellEnd"/>
    </w:p>
    <w:p w14:paraId="5C404FB7" w14:textId="77777777" w:rsidR="00E7079D" w:rsidRDefault="00AB3E57">
      <w:pPr>
        <w:pStyle w:val="BodyA"/>
        <w:spacing w:before="100" w:after="100"/>
        <w:rPr>
          <w:sz w:val="24"/>
          <w:szCs w:val="24"/>
        </w:rPr>
      </w:pPr>
      <w:r>
        <w:rPr>
          <w:sz w:val="24"/>
          <w:szCs w:val="24"/>
        </w:rPr>
        <w:t xml:space="preserve">The recording and review of stillbirths, late fetal losses and perinatal deaths in the Trust is carried out through the Perinatal Mortality Review Group (PMRG). This is a multi-disciplinary meeting consisting of Midwives, Obstetricians, Neonatologists and members of the Governance Team. It includes external reviewers alongside those from MKUH. Deaths are reported to the </w:t>
      </w:r>
      <w:proofErr w:type="spellStart"/>
      <w:r>
        <w:rPr>
          <w:sz w:val="24"/>
          <w:szCs w:val="24"/>
        </w:rPr>
        <w:t>MBRRACE-UK</w:t>
      </w:r>
      <w:proofErr w:type="spellEnd"/>
      <w:r>
        <w:rPr>
          <w:sz w:val="24"/>
          <w:szCs w:val="24"/>
        </w:rPr>
        <w:t xml:space="preserve"> perinatal mortality surveillance group in a standardised format (using the Perinatal Mortality Review Tool, PMRT).</w:t>
      </w:r>
    </w:p>
    <w:p w14:paraId="6D98A12B" w14:textId="33FD4652" w:rsidR="00E7079D" w:rsidRDefault="436E9498" w:rsidP="436E9498">
      <w:pPr>
        <w:pStyle w:val="BodyA"/>
        <w:spacing w:before="100" w:after="100"/>
        <w:rPr>
          <w:sz w:val="24"/>
          <w:szCs w:val="24"/>
        </w:rPr>
      </w:pPr>
      <w:r w:rsidRPr="436E9498">
        <w:rPr>
          <w:sz w:val="24"/>
          <w:szCs w:val="24"/>
        </w:rPr>
        <w:t>Across Q2 (July to September 2023), there were five stillbirths (2.4 per 1000 births) and no neonatal deaths. One stillbirth has yet to be reviewed. The remaining four have been reviewed, with likely causes of death being given as: diabetes, chromosomal abnormalities, suspected placental abruption</w:t>
      </w:r>
      <w:r w:rsidR="5533DC97" w:rsidRPr="436E9498">
        <w:rPr>
          <w:sz w:val="24"/>
          <w:szCs w:val="24"/>
        </w:rPr>
        <w:t>,</w:t>
      </w:r>
      <w:r w:rsidRPr="436E9498">
        <w:rPr>
          <w:sz w:val="24"/>
          <w:szCs w:val="24"/>
        </w:rPr>
        <w:t xml:space="preserve"> and unknown.</w:t>
      </w:r>
    </w:p>
    <w:p w14:paraId="63DF716A" w14:textId="0F9524A7" w:rsidR="6D0C046E" w:rsidRDefault="6D0C046E" w:rsidP="436E9498">
      <w:pPr>
        <w:pStyle w:val="BodyA"/>
        <w:rPr>
          <w:sz w:val="24"/>
          <w:szCs w:val="24"/>
        </w:rPr>
      </w:pPr>
      <w:r w:rsidRPr="436E9498">
        <w:rPr>
          <w:sz w:val="24"/>
          <w:szCs w:val="24"/>
        </w:rPr>
        <w:t xml:space="preserve">PMRG examines the care received by the mothers from time of booking until delivery and assesses whether there were issues </w:t>
      </w:r>
      <w:r w:rsidR="7B0ABA21" w:rsidRPr="436E9498">
        <w:rPr>
          <w:sz w:val="24"/>
          <w:szCs w:val="24"/>
        </w:rPr>
        <w:t xml:space="preserve">with care delivery and whether that may have made a difference to the outcome. </w:t>
      </w:r>
      <w:r w:rsidR="6C643CE2" w:rsidRPr="436E9498">
        <w:rPr>
          <w:sz w:val="24"/>
          <w:szCs w:val="24"/>
        </w:rPr>
        <w:t xml:space="preserve">In two of the four cases, issues were identified which may have influenced the outcome. These were: an earlier referral to </w:t>
      </w:r>
      <w:proofErr w:type="spellStart"/>
      <w:r w:rsidR="6C643CE2" w:rsidRPr="436E9498">
        <w:rPr>
          <w:sz w:val="24"/>
          <w:szCs w:val="24"/>
        </w:rPr>
        <w:t>foetal</w:t>
      </w:r>
      <w:proofErr w:type="spellEnd"/>
      <w:r w:rsidR="6C643CE2" w:rsidRPr="436E9498">
        <w:rPr>
          <w:sz w:val="24"/>
          <w:szCs w:val="24"/>
        </w:rPr>
        <w:t xml:space="preserve"> </w:t>
      </w:r>
      <w:r w:rsidR="3F6DB4D5" w:rsidRPr="436E9498">
        <w:rPr>
          <w:sz w:val="24"/>
          <w:szCs w:val="24"/>
        </w:rPr>
        <w:t>medicine and the initiation of aspirin in a mother who had previously delivered a small-for-gestational-age baby.</w:t>
      </w:r>
      <w:r w:rsidR="56FE763B" w:rsidRPr="436E9498">
        <w:rPr>
          <w:sz w:val="24"/>
          <w:szCs w:val="24"/>
        </w:rPr>
        <w:t xml:space="preserve"> </w:t>
      </w:r>
    </w:p>
    <w:p w14:paraId="230B0A9B" w14:textId="47E43354" w:rsidR="56FE763B" w:rsidRDefault="56FE763B" w:rsidP="436E9498">
      <w:pPr>
        <w:pStyle w:val="BodyA"/>
        <w:rPr>
          <w:sz w:val="24"/>
          <w:szCs w:val="24"/>
        </w:rPr>
      </w:pPr>
      <w:r w:rsidRPr="436E9498">
        <w:rPr>
          <w:sz w:val="24"/>
          <w:szCs w:val="24"/>
        </w:rPr>
        <w:t>Learning from this group</w:t>
      </w:r>
      <w:r w:rsidR="696B3B72" w:rsidRPr="436E9498">
        <w:rPr>
          <w:sz w:val="24"/>
          <w:szCs w:val="24"/>
        </w:rPr>
        <w:t xml:space="preserve"> is collated into an action plan </w:t>
      </w:r>
      <w:r w:rsidR="3C74B365" w:rsidRPr="436E9498">
        <w:rPr>
          <w:sz w:val="24"/>
          <w:szCs w:val="24"/>
        </w:rPr>
        <w:t>and disseminated via Clinical Governance Meetings, newsletters, teaching</w:t>
      </w:r>
      <w:r w:rsidR="2D0CC337" w:rsidRPr="436E9498">
        <w:rPr>
          <w:sz w:val="24"/>
          <w:szCs w:val="24"/>
        </w:rPr>
        <w:t>,</w:t>
      </w:r>
      <w:r w:rsidR="3C74B365" w:rsidRPr="436E9498">
        <w:rPr>
          <w:sz w:val="24"/>
          <w:szCs w:val="24"/>
        </w:rPr>
        <w:t xml:space="preserve"> and emails.</w:t>
      </w:r>
    </w:p>
    <w:p w14:paraId="2946DB82" w14:textId="77777777" w:rsidR="00E7079D" w:rsidRDefault="00E7079D">
      <w:pPr>
        <w:pStyle w:val="BodyA"/>
        <w:jc w:val="both"/>
        <w:rPr>
          <w:b/>
          <w:bCs/>
          <w:sz w:val="24"/>
          <w:szCs w:val="24"/>
          <w:u w:val="single"/>
        </w:rPr>
      </w:pPr>
    </w:p>
    <w:p w14:paraId="29F910CA" w14:textId="77777777" w:rsidR="00E7079D" w:rsidRDefault="436E9498" w:rsidP="436E9498">
      <w:pPr>
        <w:pStyle w:val="BodyA"/>
        <w:jc w:val="both"/>
        <w:rPr>
          <w:b/>
          <w:bCs/>
          <w:sz w:val="24"/>
          <w:szCs w:val="24"/>
        </w:rPr>
      </w:pPr>
      <w:r w:rsidRPr="436E9498">
        <w:rPr>
          <w:b/>
          <w:bCs/>
          <w:sz w:val="24"/>
          <w:szCs w:val="24"/>
        </w:rPr>
        <w:t>Qualitative data relating to mortality</w:t>
      </w:r>
    </w:p>
    <w:p w14:paraId="5997CC1D" w14:textId="77777777" w:rsidR="00E7079D" w:rsidRDefault="00E7079D">
      <w:pPr>
        <w:pStyle w:val="BodyA"/>
        <w:jc w:val="both"/>
        <w:rPr>
          <w:b/>
          <w:bCs/>
          <w:sz w:val="24"/>
          <w:szCs w:val="24"/>
          <w:u w:val="single"/>
        </w:rPr>
      </w:pPr>
    </w:p>
    <w:p w14:paraId="6B699379" w14:textId="4D51713A" w:rsidR="00E7079D" w:rsidRDefault="436E9498" w:rsidP="436E9498">
      <w:pPr>
        <w:pStyle w:val="BodyA"/>
        <w:spacing w:after="200" w:line="276" w:lineRule="auto"/>
        <w:jc w:val="both"/>
        <w:rPr>
          <w:sz w:val="24"/>
          <w:szCs w:val="24"/>
        </w:rPr>
      </w:pPr>
      <w:r w:rsidRPr="436E9498">
        <w:rPr>
          <w:sz w:val="24"/>
          <w:szCs w:val="24"/>
        </w:rPr>
        <w:t xml:space="preserve">Data </w:t>
      </w:r>
      <w:r w:rsidR="3F281DFA" w:rsidRPr="436E9498">
        <w:rPr>
          <w:sz w:val="24"/>
          <w:szCs w:val="24"/>
        </w:rPr>
        <w:t>from the Medical Examiners</w:t>
      </w:r>
      <w:r w:rsidR="76659C20" w:rsidRPr="436E9498">
        <w:rPr>
          <w:sz w:val="24"/>
          <w:szCs w:val="24"/>
        </w:rPr>
        <w:t>’</w:t>
      </w:r>
      <w:r w:rsidR="3F281DFA" w:rsidRPr="436E9498">
        <w:rPr>
          <w:sz w:val="24"/>
          <w:szCs w:val="24"/>
        </w:rPr>
        <w:t xml:space="preserve"> Office </w:t>
      </w:r>
      <w:r w:rsidRPr="436E9498">
        <w:rPr>
          <w:sz w:val="24"/>
          <w:szCs w:val="24"/>
        </w:rPr>
        <w:t xml:space="preserve">for the last 15 months are illustrated in the table below.  </w:t>
      </w:r>
    </w:p>
    <w:p w14:paraId="3CFF64EF" w14:textId="0E648C9D" w:rsidR="00E7079D" w:rsidRDefault="00E7079D" w:rsidP="436E9498">
      <w:pPr>
        <w:pStyle w:val="BodyA"/>
      </w:pPr>
    </w:p>
    <w:tbl>
      <w:tblPr>
        <w:tblW w:w="0" w:type="auto"/>
        <w:tblInd w:w="21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009"/>
        <w:gridCol w:w="892"/>
        <w:gridCol w:w="892"/>
        <w:gridCol w:w="892"/>
        <w:gridCol w:w="892"/>
        <w:gridCol w:w="892"/>
      </w:tblGrid>
      <w:tr w:rsidR="436E9498" w14:paraId="10C72BBC" w14:textId="77777777" w:rsidTr="436E9498">
        <w:trPr>
          <w:trHeight w:val="600"/>
        </w:trPr>
        <w:tc>
          <w:tcPr>
            <w:tcW w:w="600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75" w:type="dxa"/>
              <w:bottom w:w="75" w:type="dxa"/>
              <w:right w:w="75" w:type="dxa"/>
            </w:tcMar>
          </w:tcPr>
          <w:p w14:paraId="4BE60B3E" w14:textId="68CDFFEA" w:rsidR="436E9498" w:rsidRDefault="436E9498" w:rsidP="436E9498">
            <w:pPr>
              <w:pStyle w:val="BodyA"/>
              <w:jc w:val="both"/>
              <w:rPr>
                <w:color w:val="4472C4"/>
                <w:sz w:val="18"/>
                <w:szCs w:val="18"/>
              </w:rPr>
            </w:pPr>
            <w:r w:rsidRPr="436E9498">
              <w:rPr>
                <w:b/>
                <w:bCs/>
                <w:color w:val="4472C4"/>
                <w:sz w:val="18"/>
                <w:szCs w:val="18"/>
              </w:rPr>
              <w:t> </w:t>
            </w:r>
          </w:p>
        </w:tc>
        <w:tc>
          <w:tcPr>
            <w:tcW w:w="8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E944F3F" w14:textId="48B773FB" w:rsidR="436E9498" w:rsidRDefault="436E9498" w:rsidP="436E9498">
            <w:pPr>
              <w:pStyle w:val="BodyA"/>
              <w:jc w:val="both"/>
              <w:rPr>
                <w:color w:val="000000" w:themeColor="text1"/>
                <w:sz w:val="18"/>
                <w:szCs w:val="18"/>
              </w:rPr>
            </w:pPr>
            <w:r w:rsidRPr="436E9498">
              <w:rPr>
                <w:b/>
                <w:bCs/>
                <w:color w:val="000000" w:themeColor="text1"/>
                <w:sz w:val="18"/>
                <w:szCs w:val="18"/>
              </w:rPr>
              <w:t>Q2</w:t>
            </w:r>
          </w:p>
          <w:p w14:paraId="24C60D0D" w14:textId="35B10EBE" w:rsidR="436E9498" w:rsidRDefault="436E9498" w:rsidP="436E9498">
            <w:pPr>
              <w:pStyle w:val="BodyA"/>
              <w:jc w:val="both"/>
              <w:rPr>
                <w:color w:val="000000" w:themeColor="text1"/>
                <w:sz w:val="18"/>
                <w:szCs w:val="18"/>
              </w:rPr>
            </w:pPr>
            <w:r w:rsidRPr="436E9498">
              <w:rPr>
                <w:b/>
                <w:bCs/>
                <w:color w:val="000000" w:themeColor="text1"/>
                <w:sz w:val="18"/>
                <w:szCs w:val="18"/>
              </w:rPr>
              <w:t>Jul-Sep</w:t>
            </w:r>
          </w:p>
          <w:p w14:paraId="0BF3F333" w14:textId="03979795" w:rsidR="436E9498" w:rsidRDefault="436E9498" w:rsidP="436E9498">
            <w:pPr>
              <w:pStyle w:val="BodyA"/>
              <w:jc w:val="both"/>
              <w:rPr>
                <w:color w:val="000000" w:themeColor="text1"/>
                <w:sz w:val="18"/>
                <w:szCs w:val="18"/>
              </w:rPr>
            </w:pPr>
            <w:r w:rsidRPr="436E9498">
              <w:rPr>
                <w:b/>
                <w:bCs/>
                <w:color w:val="000000" w:themeColor="text1"/>
                <w:sz w:val="18"/>
                <w:szCs w:val="18"/>
              </w:rPr>
              <w:t>2022</w:t>
            </w:r>
          </w:p>
        </w:tc>
        <w:tc>
          <w:tcPr>
            <w:tcW w:w="8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A861017" w14:textId="2D97B389" w:rsidR="436E9498" w:rsidRDefault="436E9498" w:rsidP="436E9498">
            <w:pPr>
              <w:pStyle w:val="BodyA"/>
              <w:jc w:val="both"/>
              <w:rPr>
                <w:color w:val="000000" w:themeColor="text1"/>
                <w:sz w:val="18"/>
                <w:szCs w:val="18"/>
              </w:rPr>
            </w:pPr>
            <w:r w:rsidRPr="436E9498">
              <w:rPr>
                <w:b/>
                <w:bCs/>
                <w:color w:val="000000" w:themeColor="text1"/>
                <w:sz w:val="18"/>
                <w:szCs w:val="18"/>
              </w:rPr>
              <w:t>Q3</w:t>
            </w:r>
          </w:p>
          <w:p w14:paraId="6B3EF196" w14:textId="7FA6DD61" w:rsidR="436E9498" w:rsidRDefault="436E9498" w:rsidP="436E9498">
            <w:pPr>
              <w:pStyle w:val="BodyA"/>
              <w:jc w:val="both"/>
              <w:rPr>
                <w:color w:val="000000" w:themeColor="text1"/>
                <w:sz w:val="18"/>
                <w:szCs w:val="18"/>
              </w:rPr>
            </w:pPr>
            <w:r w:rsidRPr="436E9498">
              <w:rPr>
                <w:b/>
                <w:bCs/>
                <w:color w:val="000000" w:themeColor="text1"/>
                <w:sz w:val="18"/>
                <w:szCs w:val="18"/>
              </w:rPr>
              <w:t>Oct-Dec 2022</w:t>
            </w:r>
          </w:p>
        </w:tc>
        <w:tc>
          <w:tcPr>
            <w:tcW w:w="8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4F278B7" w14:textId="541404F1" w:rsidR="436E9498" w:rsidRDefault="436E9498" w:rsidP="436E9498">
            <w:pPr>
              <w:pStyle w:val="BodyA"/>
              <w:jc w:val="both"/>
              <w:rPr>
                <w:color w:val="000000" w:themeColor="text1"/>
                <w:sz w:val="18"/>
                <w:szCs w:val="18"/>
              </w:rPr>
            </w:pPr>
            <w:r w:rsidRPr="436E9498">
              <w:rPr>
                <w:b/>
                <w:bCs/>
                <w:color w:val="000000" w:themeColor="text1"/>
                <w:sz w:val="18"/>
                <w:szCs w:val="18"/>
              </w:rPr>
              <w:t xml:space="preserve">Q4 </w:t>
            </w:r>
            <w:r w:rsidR="2CED1F89" w:rsidRPr="436E9498">
              <w:rPr>
                <w:b/>
                <w:bCs/>
                <w:color w:val="000000" w:themeColor="text1"/>
                <w:sz w:val="18"/>
                <w:szCs w:val="18"/>
              </w:rPr>
              <w:t xml:space="preserve"> </w:t>
            </w:r>
            <w:r w:rsidRPr="436E9498">
              <w:rPr>
                <w:b/>
                <w:bCs/>
                <w:color w:val="000000" w:themeColor="text1"/>
                <w:sz w:val="18"/>
                <w:szCs w:val="18"/>
              </w:rPr>
              <w:t>Jan-Mar 2023</w:t>
            </w:r>
          </w:p>
        </w:tc>
        <w:tc>
          <w:tcPr>
            <w:tcW w:w="8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717061E" w14:textId="277802E8" w:rsidR="436E9498" w:rsidRDefault="436E9498" w:rsidP="436E9498">
            <w:pPr>
              <w:pStyle w:val="BodyA"/>
              <w:jc w:val="both"/>
              <w:rPr>
                <w:color w:val="000000" w:themeColor="text1"/>
                <w:sz w:val="18"/>
                <w:szCs w:val="18"/>
              </w:rPr>
            </w:pPr>
            <w:r w:rsidRPr="436E9498">
              <w:rPr>
                <w:b/>
                <w:bCs/>
                <w:color w:val="000000" w:themeColor="text1"/>
                <w:sz w:val="18"/>
                <w:szCs w:val="18"/>
              </w:rPr>
              <w:t xml:space="preserve">Q1 </w:t>
            </w:r>
            <w:r w:rsidR="2D617246" w:rsidRPr="436E9498">
              <w:rPr>
                <w:b/>
                <w:bCs/>
                <w:color w:val="000000" w:themeColor="text1"/>
                <w:sz w:val="18"/>
                <w:szCs w:val="18"/>
              </w:rPr>
              <w:t xml:space="preserve"> </w:t>
            </w:r>
            <w:r w:rsidRPr="436E9498">
              <w:rPr>
                <w:b/>
                <w:bCs/>
                <w:color w:val="000000" w:themeColor="text1"/>
                <w:sz w:val="18"/>
                <w:szCs w:val="18"/>
              </w:rPr>
              <w:t>Apr-Jun 2023</w:t>
            </w:r>
          </w:p>
        </w:tc>
        <w:tc>
          <w:tcPr>
            <w:tcW w:w="8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3CF13B4" w14:textId="07F0CAA6" w:rsidR="6C3CD590" w:rsidRDefault="6C3CD590" w:rsidP="436E9498">
            <w:pPr>
              <w:pStyle w:val="BodyA"/>
              <w:jc w:val="both"/>
              <w:rPr>
                <w:b/>
                <w:bCs/>
                <w:color w:val="000000" w:themeColor="text1"/>
                <w:sz w:val="18"/>
                <w:szCs w:val="18"/>
              </w:rPr>
            </w:pPr>
            <w:r w:rsidRPr="436E9498">
              <w:rPr>
                <w:b/>
                <w:bCs/>
                <w:color w:val="000000" w:themeColor="text1"/>
                <w:sz w:val="18"/>
                <w:szCs w:val="18"/>
              </w:rPr>
              <w:t>Q2   Jul-Sep 2023</w:t>
            </w:r>
          </w:p>
        </w:tc>
      </w:tr>
      <w:tr w:rsidR="436E9498" w14:paraId="51E840C1" w14:textId="77777777" w:rsidTr="436E9498">
        <w:trPr>
          <w:trHeight w:val="225"/>
        </w:trPr>
        <w:tc>
          <w:tcPr>
            <w:tcW w:w="600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75" w:type="dxa"/>
              <w:bottom w:w="75" w:type="dxa"/>
              <w:right w:w="75" w:type="dxa"/>
            </w:tcMar>
          </w:tcPr>
          <w:p w14:paraId="4B21B2C4" w14:textId="4DB95059" w:rsidR="436E9498" w:rsidRDefault="436E9498" w:rsidP="436E9498">
            <w:pPr>
              <w:pStyle w:val="BodyA"/>
              <w:rPr>
                <w:color w:val="201F1E"/>
                <w:sz w:val="18"/>
                <w:szCs w:val="18"/>
              </w:rPr>
            </w:pPr>
            <w:r w:rsidRPr="436E9498">
              <w:rPr>
                <w:b/>
                <w:bCs/>
                <w:color w:val="201F1E"/>
                <w:sz w:val="18"/>
                <w:szCs w:val="18"/>
              </w:rPr>
              <w:t>Number of deaths</w:t>
            </w:r>
          </w:p>
        </w:tc>
        <w:tc>
          <w:tcPr>
            <w:tcW w:w="8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FAF684B" w14:textId="298260E2" w:rsidR="436E9498" w:rsidRDefault="436E9498" w:rsidP="436E9498">
            <w:pPr>
              <w:pStyle w:val="BodyA"/>
              <w:jc w:val="both"/>
              <w:rPr>
                <w:color w:val="000000" w:themeColor="text1"/>
                <w:sz w:val="18"/>
                <w:szCs w:val="18"/>
              </w:rPr>
            </w:pPr>
            <w:r w:rsidRPr="436E9498">
              <w:rPr>
                <w:color w:val="000000" w:themeColor="text1"/>
                <w:sz w:val="18"/>
                <w:szCs w:val="18"/>
              </w:rPr>
              <w:t>269</w:t>
            </w:r>
          </w:p>
        </w:tc>
        <w:tc>
          <w:tcPr>
            <w:tcW w:w="8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B2CB80E" w14:textId="2B3E3520" w:rsidR="436E9498" w:rsidRDefault="436E9498" w:rsidP="436E9498">
            <w:pPr>
              <w:pStyle w:val="BodyA"/>
              <w:jc w:val="both"/>
              <w:rPr>
                <w:color w:val="000000" w:themeColor="text1"/>
                <w:sz w:val="18"/>
                <w:szCs w:val="18"/>
              </w:rPr>
            </w:pPr>
            <w:r w:rsidRPr="436E9498">
              <w:rPr>
                <w:color w:val="000000" w:themeColor="text1"/>
                <w:sz w:val="18"/>
                <w:szCs w:val="18"/>
              </w:rPr>
              <w:t>349</w:t>
            </w:r>
          </w:p>
        </w:tc>
        <w:tc>
          <w:tcPr>
            <w:tcW w:w="8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3F56AD1" w14:textId="11230FA9" w:rsidR="436E9498" w:rsidRDefault="436E9498" w:rsidP="436E9498">
            <w:pPr>
              <w:pStyle w:val="BodyA"/>
              <w:jc w:val="both"/>
              <w:rPr>
                <w:color w:val="000000" w:themeColor="text1"/>
                <w:sz w:val="18"/>
                <w:szCs w:val="18"/>
              </w:rPr>
            </w:pPr>
            <w:r w:rsidRPr="436E9498">
              <w:rPr>
                <w:color w:val="000000" w:themeColor="text1"/>
                <w:sz w:val="18"/>
                <w:szCs w:val="18"/>
              </w:rPr>
              <w:t>266</w:t>
            </w:r>
          </w:p>
        </w:tc>
        <w:tc>
          <w:tcPr>
            <w:tcW w:w="8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1932E40" w14:textId="78B53766" w:rsidR="436E9498" w:rsidRDefault="436E9498" w:rsidP="436E9498">
            <w:pPr>
              <w:pStyle w:val="BodyA"/>
              <w:jc w:val="both"/>
              <w:rPr>
                <w:color w:val="000000" w:themeColor="text1"/>
                <w:sz w:val="18"/>
                <w:szCs w:val="18"/>
              </w:rPr>
            </w:pPr>
            <w:r w:rsidRPr="436E9498">
              <w:rPr>
                <w:color w:val="000000" w:themeColor="text1"/>
                <w:sz w:val="18"/>
                <w:szCs w:val="18"/>
              </w:rPr>
              <w:t>230</w:t>
            </w:r>
          </w:p>
        </w:tc>
        <w:tc>
          <w:tcPr>
            <w:tcW w:w="8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43405B4" w14:textId="5FCBCFBD" w:rsidR="58AB6C06" w:rsidRDefault="58AB6C06" w:rsidP="436E9498">
            <w:pPr>
              <w:pStyle w:val="BodyA"/>
              <w:jc w:val="both"/>
              <w:rPr>
                <w:color w:val="000000" w:themeColor="text1"/>
                <w:sz w:val="18"/>
                <w:szCs w:val="18"/>
              </w:rPr>
            </w:pPr>
            <w:r w:rsidRPr="436E9498">
              <w:rPr>
                <w:color w:val="000000" w:themeColor="text1"/>
                <w:sz w:val="18"/>
                <w:szCs w:val="18"/>
              </w:rPr>
              <w:t>222</w:t>
            </w:r>
          </w:p>
        </w:tc>
      </w:tr>
      <w:tr w:rsidR="436E9498" w14:paraId="61188C40" w14:textId="77777777" w:rsidTr="436E9498">
        <w:trPr>
          <w:trHeight w:val="210"/>
        </w:trPr>
        <w:tc>
          <w:tcPr>
            <w:tcW w:w="600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75" w:type="dxa"/>
              <w:bottom w:w="75" w:type="dxa"/>
              <w:right w:w="75" w:type="dxa"/>
            </w:tcMar>
          </w:tcPr>
          <w:p w14:paraId="61C85A4A" w14:textId="0FB0902D" w:rsidR="436E9498" w:rsidRDefault="436E9498" w:rsidP="436E9498">
            <w:pPr>
              <w:pStyle w:val="BodyA"/>
              <w:rPr>
                <w:color w:val="201F1E"/>
                <w:sz w:val="18"/>
                <w:szCs w:val="18"/>
              </w:rPr>
            </w:pPr>
            <w:r w:rsidRPr="436E9498">
              <w:rPr>
                <w:b/>
                <w:bCs/>
                <w:color w:val="201F1E"/>
                <w:sz w:val="18"/>
                <w:szCs w:val="18"/>
              </w:rPr>
              <w:t>Number of deaths reviewed by Medical Examiner</w:t>
            </w:r>
          </w:p>
        </w:tc>
        <w:tc>
          <w:tcPr>
            <w:tcW w:w="8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3B803A0" w14:textId="0D035671" w:rsidR="436E9498" w:rsidRDefault="436E9498" w:rsidP="436E9498">
            <w:pPr>
              <w:pStyle w:val="BodyA"/>
              <w:jc w:val="both"/>
              <w:rPr>
                <w:color w:val="000000" w:themeColor="text1"/>
                <w:sz w:val="18"/>
                <w:szCs w:val="18"/>
              </w:rPr>
            </w:pPr>
            <w:r w:rsidRPr="436E9498">
              <w:rPr>
                <w:color w:val="000000" w:themeColor="text1"/>
                <w:sz w:val="18"/>
                <w:szCs w:val="18"/>
              </w:rPr>
              <w:t>100%</w:t>
            </w:r>
          </w:p>
        </w:tc>
        <w:tc>
          <w:tcPr>
            <w:tcW w:w="8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029128C" w14:textId="0197B1EE" w:rsidR="436E9498" w:rsidRDefault="436E9498" w:rsidP="436E9498">
            <w:pPr>
              <w:pStyle w:val="BodyA"/>
              <w:jc w:val="both"/>
              <w:rPr>
                <w:color w:val="000000" w:themeColor="text1"/>
                <w:sz w:val="18"/>
                <w:szCs w:val="18"/>
              </w:rPr>
            </w:pPr>
            <w:r w:rsidRPr="436E9498">
              <w:rPr>
                <w:color w:val="000000" w:themeColor="text1"/>
                <w:sz w:val="18"/>
                <w:szCs w:val="18"/>
              </w:rPr>
              <w:t>100%</w:t>
            </w:r>
          </w:p>
        </w:tc>
        <w:tc>
          <w:tcPr>
            <w:tcW w:w="8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E2A6096" w14:textId="230540D5" w:rsidR="436E9498" w:rsidRDefault="436E9498" w:rsidP="436E9498">
            <w:pPr>
              <w:pStyle w:val="BodyA"/>
              <w:jc w:val="both"/>
              <w:rPr>
                <w:color w:val="000000" w:themeColor="text1"/>
                <w:sz w:val="18"/>
                <w:szCs w:val="18"/>
              </w:rPr>
            </w:pPr>
            <w:r w:rsidRPr="436E9498">
              <w:rPr>
                <w:color w:val="000000" w:themeColor="text1"/>
                <w:sz w:val="18"/>
                <w:szCs w:val="18"/>
              </w:rPr>
              <w:t>100%</w:t>
            </w:r>
          </w:p>
        </w:tc>
        <w:tc>
          <w:tcPr>
            <w:tcW w:w="8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3743C6D" w14:textId="6799228D" w:rsidR="436E9498" w:rsidRDefault="436E9498" w:rsidP="436E9498">
            <w:pPr>
              <w:pStyle w:val="BodyA"/>
              <w:jc w:val="both"/>
              <w:rPr>
                <w:color w:val="000000" w:themeColor="text1"/>
                <w:sz w:val="18"/>
                <w:szCs w:val="18"/>
              </w:rPr>
            </w:pPr>
            <w:r w:rsidRPr="436E9498">
              <w:rPr>
                <w:color w:val="000000" w:themeColor="text1"/>
                <w:sz w:val="18"/>
                <w:szCs w:val="18"/>
              </w:rPr>
              <w:t>100%</w:t>
            </w:r>
          </w:p>
        </w:tc>
        <w:tc>
          <w:tcPr>
            <w:tcW w:w="8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0073EEF" w14:textId="12BB30DC" w:rsidR="464E0A2D" w:rsidRDefault="464E0A2D" w:rsidP="436E9498">
            <w:pPr>
              <w:pStyle w:val="BodyA"/>
              <w:jc w:val="both"/>
              <w:rPr>
                <w:color w:val="000000" w:themeColor="text1"/>
                <w:sz w:val="18"/>
                <w:szCs w:val="18"/>
              </w:rPr>
            </w:pPr>
            <w:r w:rsidRPr="436E9498">
              <w:rPr>
                <w:color w:val="000000" w:themeColor="text1"/>
                <w:sz w:val="18"/>
                <w:szCs w:val="18"/>
              </w:rPr>
              <w:t>100%</w:t>
            </w:r>
          </w:p>
        </w:tc>
      </w:tr>
      <w:tr w:rsidR="436E9498" w14:paraId="649CBCA9" w14:textId="77777777" w:rsidTr="436E9498">
        <w:trPr>
          <w:trHeight w:val="225"/>
        </w:trPr>
        <w:tc>
          <w:tcPr>
            <w:tcW w:w="600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75" w:type="dxa"/>
              <w:bottom w:w="75" w:type="dxa"/>
              <w:right w:w="75" w:type="dxa"/>
            </w:tcMar>
          </w:tcPr>
          <w:p w14:paraId="089A1BE3" w14:textId="34A27DE5" w:rsidR="436E9498" w:rsidRDefault="436E9498" w:rsidP="436E9498">
            <w:pPr>
              <w:pStyle w:val="BodyA"/>
              <w:rPr>
                <w:color w:val="201F1E"/>
                <w:sz w:val="18"/>
                <w:szCs w:val="18"/>
              </w:rPr>
            </w:pPr>
            <w:r w:rsidRPr="436E9498">
              <w:rPr>
                <w:b/>
                <w:bCs/>
                <w:color w:val="201F1E"/>
                <w:sz w:val="18"/>
                <w:szCs w:val="18"/>
              </w:rPr>
              <w:t>Number of SJRs Requested by Medical Examiner</w:t>
            </w:r>
          </w:p>
        </w:tc>
        <w:tc>
          <w:tcPr>
            <w:tcW w:w="8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F23563C" w14:textId="2A46004A" w:rsidR="436E9498" w:rsidRDefault="436E9498" w:rsidP="436E9498">
            <w:pPr>
              <w:pStyle w:val="BodyA"/>
              <w:jc w:val="both"/>
              <w:rPr>
                <w:color w:val="000000" w:themeColor="text1"/>
                <w:sz w:val="18"/>
                <w:szCs w:val="18"/>
              </w:rPr>
            </w:pPr>
            <w:r w:rsidRPr="436E9498">
              <w:rPr>
                <w:color w:val="000000" w:themeColor="text1"/>
                <w:sz w:val="18"/>
                <w:szCs w:val="18"/>
              </w:rPr>
              <w:t>28</w:t>
            </w:r>
          </w:p>
        </w:tc>
        <w:tc>
          <w:tcPr>
            <w:tcW w:w="8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668C7BB" w14:textId="6E9F42F2" w:rsidR="436E9498" w:rsidRDefault="436E9498" w:rsidP="436E9498">
            <w:pPr>
              <w:pStyle w:val="BodyA"/>
              <w:jc w:val="both"/>
              <w:rPr>
                <w:color w:val="000000" w:themeColor="text1"/>
                <w:sz w:val="18"/>
                <w:szCs w:val="18"/>
              </w:rPr>
            </w:pPr>
            <w:r w:rsidRPr="436E9498">
              <w:rPr>
                <w:color w:val="000000" w:themeColor="text1"/>
                <w:sz w:val="18"/>
                <w:szCs w:val="18"/>
              </w:rPr>
              <w:t>25</w:t>
            </w:r>
          </w:p>
        </w:tc>
        <w:tc>
          <w:tcPr>
            <w:tcW w:w="8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01EB813" w14:textId="10BFF3F2" w:rsidR="436E9498" w:rsidRDefault="436E9498" w:rsidP="436E9498">
            <w:pPr>
              <w:pStyle w:val="BodyA"/>
              <w:jc w:val="both"/>
              <w:rPr>
                <w:color w:val="000000" w:themeColor="text1"/>
                <w:sz w:val="18"/>
                <w:szCs w:val="18"/>
              </w:rPr>
            </w:pPr>
            <w:r w:rsidRPr="436E9498">
              <w:rPr>
                <w:color w:val="000000" w:themeColor="text1"/>
                <w:sz w:val="18"/>
                <w:szCs w:val="18"/>
              </w:rPr>
              <w:t>28</w:t>
            </w:r>
          </w:p>
        </w:tc>
        <w:tc>
          <w:tcPr>
            <w:tcW w:w="8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4EAEE27" w14:textId="13231494" w:rsidR="436E9498" w:rsidRDefault="436E9498" w:rsidP="436E9498">
            <w:pPr>
              <w:pStyle w:val="BodyA"/>
              <w:jc w:val="both"/>
              <w:rPr>
                <w:color w:val="000000" w:themeColor="text1"/>
                <w:sz w:val="18"/>
                <w:szCs w:val="18"/>
              </w:rPr>
            </w:pPr>
            <w:r w:rsidRPr="436E9498">
              <w:rPr>
                <w:color w:val="000000" w:themeColor="text1"/>
                <w:sz w:val="18"/>
                <w:szCs w:val="18"/>
              </w:rPr>
              <w:t>28</w:t>
            </w:r>
          </w:p>
        </w:tc>
        <w:tc>
          <w:tcPr>
            <w:tcW w:w="8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C81345F" w14:textId="1073F0D1" w:rsidR="02678C55" w:rsidRDefault="02678C55" w:rsidP="436E9498">
            <w:pPr>
              <w:pStyle w:val="BodyA"/>
              <w:jc w:val="both"/>
              <w:rPr>
                <w:color w:val="000000" w:themeColor="text1"/>
                <w:sz w:val="18"/>
                <w:szCs w:val="18"/>
              </w:rPr>
            </w:pPr>
            <w:r w:rsidRPr="436E9498">
              <w:rPr>
                <w:color w:val="000000" w:themeColor="text1"/>
                <w:sz w:val="18"/>
                <w:szCs w:val="18"/>
              </w:rPr>
              <w:t>38</w:t>
            </w:r>
          </w:p>
        </w:tc>
      </w:tr>
      <w:tr w:rsidR="436E9498" w14:paraId="5FBE26B4" w14:textId="77777777" w:rsidTr="436E9498">
        <w:trPr>
          <w:trHeight w:val="225"/>
        </w:trPr>
        <w:tc>
          <w:tcPr>
            <w:tcW w:w="600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75" w:type="dxa"/>
              <w:bottom w:w="75" w:type="dxa"/>
              <w:right w:w="75" w:type="dxa"/>
            </w:tcMar>
          </w:tcPr>
          <w:p w14:paraId="5E4EC06D" w14:textId="2698EED6" w:rsidR="436E9498" w:rsidRDefault="436E9498" w:rsidP="436E9498">
            <w:pPr>
              <w:pStyle w:val="BodyA"/>
              <w:rPr>
                <w:color w:val="201F1E"/>
                <w:sz w:val="18"/>
                <w:szCs w:val="18"/>
              </w:rPr>
            </w:pPr>
            <w:r w:rsidRPr="436E9498">
              <w:rPr>
                <w:b/>
                <w:bCs/>
                <w:color w:val="201F1E"/>
                <w:sz w:val="18"/>
                <w:szCs w:val="18"/>
              </w:rPr>
              <w:t xml:space="preserve">% Deaths in which SJR requested </w:t>
            </w:r>
          </w:p>
        </w:tc>
        <w:tc>
          <w:tcPr>
            <w:tcW w:w="8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C616E61" w14:textId="5FA5DDE4" w:rsidR="436E9498" w:rsidRDefault="436E9498" w:rsidP="436E9498">
            <w:pPr>
              <w:pStyle w:val="BodyA"/>
              <w:jc w:val="both"/>
              <w:rPr>
                <w:color w:val="000000" w:themeColor="text1"/>
                <w:sz w:val="18"/>
                <w:szCs w:val="18"/>
              </w:rPr>
            </w:pPr>
            <w:r w:rsidRPr="436E9498">
              <w:rPr>
                <w:color w:val="000000" w:themeColor="text1"/>
                <w:sz w:val="18"/>
                <w:szCs w:val="18"/>
              </w:rPr>
              <w:t>10.4%</w:t>
            </w:r>
          </w:p>
        </w:tc>
        <w:tc>
          <w:tcPr>
            <w:tcW w:w="8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EC1E302" w14:textId="50261C68" w:rsidR="436E9498" w:rsidRDefault="436E9498" w:rsidP="436E9498">
            <w:pPr>
              <w:pStyle w:val="BodyA"/>
              <w:jc w:val="both"/>
              <w:rPr>
                <w:color w:val="000000" w:themeColor="text1"/>
                <w:sz w:val="18"/>
                <w:szCs w:val="18"/>
              </w:rPr>
            </w:pPr>
            <w:r w:rsidRPr="436E9498">
              <w:rPr>
                <w:color w:val="000000" w:themeColor="text1"/>
                <w:sz w:val="18"/>
                <w:szCs w:val="18"/>
              </w:rPr>
              <w:t>7.2%</w:t>
            </w:r>
          </w:p>
        </w:tc>
        <w:tc>
          <w:tcPr>
            <w:tcW w:w="8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3AC34E7" w14:textId="73220894" w:rsidR="436E9498" w:rsidRDefault="436E9498" w:rsidP="436E9498">
            <w:pPr>
              <w:pStyle w:val="BodyA"/>
              <w:jc w:val="both"/>
              <w:rPr>
                <w:color w:val="000000" w:themeColor="text1"/>
                <w:sz w:val="18"/>
                <w:szCs w:val="18"/>
              </w:rPr>
            </w:pPr>
            <w:r w:rsidRPr="436E9498">
              <w:rPr>
                <w:color w:val="000000" w:themeColor="text1"/>
                <w:sz w:val="18"/>
                <w:szCs w:val="18"/>
              </w:rPr>
              <w:t>10.5%</w:t>
            </w:r>
          </w:p>
        </w:tc>
        <w:tc>
          <w:tcPr>
            <w:tcW w:w="8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CC7530E" w14:textId="671E40C0" w:rsidR="436E9498" w:rsidRDefault="436E9498" w:rsidP="436E9498">
            <w:pPr>
              <w:pStyle w:val="BodyA"/>
              <w:jc w:val="both"/>
              <w:rPr>
                <w:color w:val="000000" w:themeColor="text1"/>
                <w:sz w:val="18"/>
                <w:szCs w:val="18"/>
              </w:rPr>
            </w:pPr>
            <w:r w:rsidRPr="436E9498">
              <w:rPr>
                <w:color w:val="000000" w:themeColor="text1"/>
                <w:sz w:val="18"/>
                <w:szCs w:val="18"/>
              </w:rPr>
              <w:t>12.2%</w:t>
            </w:r>
          </w:p>
        </w:tc>
        <w:tc>
          <w:tcPr>
            <w:tcW w:w="8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A8B2F91" w14:textId="5B740A58" w:rsidR="17505138" w:rsidRDefault="17505138" w:rsidP="436E9498">
            <w:pPr>
              <w:pStyle w:val="BodyA"/>
              <w:jc w:val="both"/>
              <w:rPr>
                <w:color w:val="000000" w:themeColor="text1"/>
                <w:sz w:val="18"/>
                <w:szCs w:val="18"/>
              </w:rPr>
            </w:pPr>
            <w:r w:rsidRPr="436E9498">
              <w:rPr>
                <w:color w:val="000000" w:themeColor="text1"/>
                <w:sz w:val="18"/>
                <w:szCs w:val="18"/>
              </w:rPr>
              <w:t>17.1%</w:t>
            </w:r>
          </w:p>
        </w:tc>
      </w:tr>
      <w:tr w:rsidR="436E9498" w14:paraId="3A6CF903" w14:textId="77777777" w:rsidTr="436E9498">
        <w:trPr>
          <w:trHeight w:val="435"/>
        </w:trPr>
        <w:tc>
          <w:tcPr>
            <w:tcW w:w="600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75" w:type="dxa"/>
              <w:bottom w:w="75" w:type="dxa"/>
              <w:right w:w="75" w:type="dxa"/>
            </w:tcMar>
          </w:tcPr>
          <w:p w14:paraId="4C11E810" w14:textId="078C7903" w:rsidR="436E9498" w:rsidRDefault="436E9498" w:rsidP="436E9498">
            <w:pPr>
              <w:pStyle w:val="BodyA"/>
              <w:rPr>
                <w:color w:val="201F1E"/>
                <w:sz w:val="18"/>
                <w:szCs w:val="18"/>
              </w:rPr>
            </w:pPr>
            <w:r w:rsidRPr="436E9498">
              <w:rPr>
                <w:b/>
                <w:bCs/>
                <w:color w:val="201F1E"/>
                <w:sz w:val="18"/>
                <w:szCs w:val="18"/>
              </w:rPr>
              <w:t>Cases taken for investigation by the coroner following referral (% of total deaths)</w:t>
            </w:r>
          </w:p>
        </w:tc>
        <w:tc>
          <w:tcPr>
            <w:tcW w:w="8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DEBA59A" w14:textId="35CAAFBA" w:rsidR="436E9498" w:rsidRDefault="436E9498" w:rsidP="436E9498">
            <w:pPr>
              <w:pStyle w:val="BodyA"/>
              <w:jc w:val="both"/>
              <w:rPr>
                <w:color w:val="000000" w:themeColor="text1"/>
                <w:sz w:val="18"/>
                <w:szCs w:val="18"/>
              </w:rPr>
            </w:pPr>
            <w:r w:rsidRPr="436E9498">
              <w:rPr>
                <w:color w:val="000000" w:themeColor="text1"/>
                <w:sz w:val="18"/>
                <w:szCs w:val="18"/>
              </w:rPr>
              <w:t>14.4%</w:t>
            </w:r>
          </w:p>
        </w:tc>
        <w:tc>
          <w:tcPr>
            <w:tcW w:w="8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5B4BA63" w14:textId="1F97DF48" w:rsidR="436E9498" w:rsidRDefault="436E9498" w:rsidP="436E9498">
            <w:pPr>
              <w:pStyle w:val="BodyA"/>
              <w:jc w:val="both"/>
              <w:rPr>
                <w:color w:val="000000" w:themeColor="text1"/>
                <w:sz w:val="18"/>
                <w:szCs w:val="18"/>
              </w:rPr>
            </w:pPr>
            <w:r w:rsidRPr="436E9498">
              <w:rPr>
                <w:color w:val="000000" w:themeColor="text1"/>
                <w:sz w:val="18"/>
                <w:szCs w:val="18"/>
              </w:rPr>
              <w:t>15.5%</w:t>
            </w:r>
          </w:p>
        </w:tc>
        <w:tc>
          <w:tcPr>
            <w:tcW w:w="8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D0F1CC3" w14:textId="63050E8B" w:rsidR="436E9498" w:rsidRDefault="436E9498" w:rsidP="436E9498">
            <w:pPr>
              <w:pStyle w:val="BodyA"/>
              <w:jc w:val="both"/>
              <w:rPr>
                <w:color w:val="000000" w:themeColor="text1"/>
                <w:sz w:val="18"/>
                <w:szCs w:val="18"/>
              </w:rPr>
            </w:pPr>
            <w:r w:rsidRPr="436E9498">
              <w:rPr>
                <w:color w:val="000000" w:themeColor="text1"/>
                <w:sz w:val="18"/>
                <w:szCs w:val="18"/>
              </w:rPr>
              <w:t>10.9%</w:t>
            </w:r>
          </w:p>
        </w:tc>
        <w:tc>
          <w:tcPr>
            <w:tcW w:w="8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634ECB9" w14:textId="3711FA20" w:rsidR="436E9498" w:rsidRDefault="436E9498" w:rsidP="436E9498">
            <w:pPr>
              <w:pStyle w:val="BodyA"/>
              <w:jc w:val="both"/>
              <w:rPr>
                <w:color w:val="000000" w:themeColor="text1"/>
                <w:sz w:val="18"/>
                <w:szCs w:val="18"/>
              </w:rPr>
            </w:pPr>
            <w:r w:rsidRPr="436E9498">
              <w:rPr>
                <w:color w:val="000000" w:themeColor="text1"/>
                <w:sz w:val="18"/>
                <w:szCs w:val="18"/>
              </w:rPr>
              <w:t>9.1%</w:t>
            </w:r>
          </w:p>
        </w:tc>
        <w:tc>
          <w:tcPr>
            <w:tcW w:w="8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AFF1F0F" w14:textId="25613BC4" w:rsidR="4B53CC1C" w:rsidRDefault="4B53CC1C" w:rsidP="436E9498">
            <w:pPr>
              <w:pStyle w:val="BodyA"/>
              <w:jc w:val="both"/>
              <w:rPr>
                <w:color w:val="000000" w:themeColor="text1"/>
                <w:sz w:val="18"/>
                <w:szCs w:val="18"/>
              </w:rPr>
            </w:pPr>
            <w:r w:rsidRPr="436E9498">
              <w:rPr>
                <w:color w:val="000000" w:themeColor="text1"/>
                <w:sz w:val="18"/>
                <w:szCs w:val="18"/>
              </w:rPr>
              <w:t>13.9%</w:t>
            </w:r>
          </w:p>
        </w:tc>
      </w:tr>
      <w:tr w:rsidR="436E9498" w14:paraId="72614C2F" w14:textId="77777777" w:rsidTr="436E9498">
        <w:trPr>
          <w:trHeight w:val="420"/>
        </w:trPr>
        <w:tc>
          <w:tcPr>
            <w:tcW w:w="600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75" w:type="dxa"/>
              <w:bottom w:w="75" w:type="dxa"/>
              <w:right w:w="75" w:type="dxa"/>
            </w:tcMar>
          </w:tcPr>
          <w:p w14:paraId="125B597D" w14:textId="4EE2F6EB" w:rsidR="436E9498" w:rsidRDefault="436E9498" w:rsidP="436E9498">
            <w:pPr>
              <w:pStyle w:val="BodyA"/>
              <w:rPr>
                <w:color w:val="201F1E"/>
                <w:sz w:val="18"/>
                <w:szCs w:val="18"/>
              </w:rPr>
            </w:pPr>
            <w:r w:rsidRPr="436E9498">
              <w:rPr>
                <w:b/>
                <w:bCs/>
                <w:color w:val="201F1E"/>
                <w:sz w:val="18"/>
                <w:szCs w:val="18"/>
              </w:rPr>
              <w:t>Cases in which MCCD (Form A) completed after discussion with Coroner (% of total deaths)</w:t>
            </w:r>
          </w:p>
        </w:tc>
        <w:tc>
          <w:tcPr>
            <w:tcW w:w="8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39AF029" w14:textId="02A56672" w:rsidR="436E9498" w:rsidRDefault="436E9498" w:rsidP="436E9498">
            <w:pPr>
              <w:pStyle w:val="BodyA"/>
              <w:jc w:val="both"/>
              <w:rPr>
                <w:color w:val="000000" w:themeColor="text1"/>
                <w:sz w:val="18"/>
                <w:szCs w:val="18"/>
              </w:rPr>
            </w:pPr>
            <w:r w:rsidRPr="436E9498">
              <w:rPr>
                <w:color w:val="000000" w:themeColor="text1"/>
                <w:sz w:val="18"/>
                <w:szCs w:val="18"/>
              </w:rPr>
              <w:t>8.9%</w:t>
            </w:r>
          </w:p>
        </w:tc>
        <w:tc>
          <w:tcPr>
            <w:tcW w:w="8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211903C" w14:textId="3B68F647" w:rsidR="436E9498" w:rsidRDefault="436E9498" w:rsidP="436E9498">
            <w:pPr>
              <w:pStyle w:val="BodyA"/>
              <w:jc w:val="both"/>
              <w:rPr>
                <w:color w:val="000000" w:themeColor="text1"/>
                <w:sz w:val="18"/>
                <w:szCs w:val="18"/>
              </w:rPr>
            </w:pPr>
            <w:r w:rsidRPr="436E9498">
              <w:rPr>
                <w:color w:val="000000" w:themeColor="text1"/>
                <w:sz w:val="18"/>
                <w:szCs w:val="18"/>
              </w:rPr>
              <w:t>12.9%</w:t>
            </w:r>
          </w:p>
        </w:tc>
        <w:tc>
          <w:tcPr>
            <w:tcW w:w="8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F98939B" w14:textId="31A38712" w:rsidR="436E9498" w:rsidRDefault="436E9498" w:rsidP="436E9498">
            <w:pPr>
              <w:pStyle w:val="BodyA"/>
              <w:jc w:val="both"/>
              <w:rPr>
                <w:color w:val="000000" w:themeColor="text1"/>
                <w:sz w:val="18"/>
                <w:szCs w:val="18"/>
              </w:rPr>
            </w:pPr>
            <w:r w:rsidRPr="436E9498">
              <w:rPr>
                <w:color w:val="000000" w:themeColor="text1"/>
                <w:sz w:val="18"/>
                <w:szCs w:val="18"/>
              </w:rPr>
              <w:t>9.4%</w:t>
            </w:r>
          </w:p>
        </w:tc>
        <w:tc>
          <w:tcPr>
            <w:tcW w:w="8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56997AC" w14:textId="22F73A99" w:rsidR="436E9498" w:rsidRDefault="436E9498" w:rsidP="436E9498">
            <w:pPr>
              <w:pStyle w:val="BodyA"/>
              <w:jc w:val="both"/>
              <w:rPr>
                <w:color w:val="000000" w:themeColor="text1"/>
                <w:sz w:val="18"/>
                <w:szCs w:val="18"/>
              </w:rPr>
            </w:pPr>
            <w:r w:rsidRPr="436E9498">
              <w:rPr>
                <w:color w:val="000000" w:themeColor="text1"/>
                <w:sz w:val="18"/>
                <w:szCs w:val="18"/>
              </w:rPr>
              <w:t>12.6%</w:t>
            </w:r>
          </w:p>
        </w:tc>
        <w:tc>
          <w:tcPr>
            <w:tcW w:w="8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8886729" w14:textId="6DD6B78B" w:rsidR="6A59C92A" w:rsidRDefault="6A59C92A" w:rsidP="436E9498">
            <w:pPr>
              <w:pStyle w:val="BodyA"/>
              <w:jc w:val="both"/>
              <w:rPr>
                <w:color w:val="000000" w:themeColor="text1"/>
                <w:sz w:val="18"/>
                <w:szCs w:val="18"/>
              </w:rPr>
            </w:pPr>
            <w:r w:rsidRPr="436E9498">
              <w:rPr>
                <w:color w:val="000000" w:themeColor="text1"/>
                <w:sz w:val="18"/>
                <w:szCs w:val="18"/>
              </w:rPr>
              <w:t>15.3%</w:t>
            </w:r>
          </w:p>
        </w:tc>
      </w:tr>
      <w:tr w:rsidR="436E9498" w14:paraId="173F8ABF" w14:textId="77777777" w:rsidTr="436E9498">
        <w:trPr>
          <w:trHeight w:val="435"/>
        </w:trPr>
        <w:tc>
          <w:tcPr>
            <w:tcW w:w="600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75" w:type="dxa"/>
              <w:bottom w:w="75" w:type="dxa"/>
              <w:right w:w="75" w:type="dxa"/>
            </w:tcMar>
          </w:tcPr>
          <w:p w14:paraId="65CAFE6F" w14:textId="3C4282E1" w:rsidR="436E9498" w:rsidRDefault="436E9498" w:rsidP="436E9498">
            <w:pPr>
              <w:pStyle w:val="BodyA"/>
              <w:rPr>
                <w:color w:val="201F1E"/>
                <w:sz w:val="18"/>
                <w:szCs w:val="18"/>
              </w:rPr>
            </w:pPr>
            <w:r w:rsidRPr="436E9498">
              <w:rPr>
                <w:b/>
                <w:bCs/>
                <w:color w:val="201F1E"/>
                <w:sz w:val="18"/>
                <w:szCs w:val="18"/>
              </w:rPr>
              <w:t xml:space="preserve">% (Number) of Urgent Release completed paperwork within 24hours </w:t>
            </w:r>
            <w:r w:rsidRPr="436E9498">
              <w:rPr>
                <w:b/>
                <w:bCs/>
                <w:color w:val="000000" w:themeColor="text1"/>
                <w:sz w:val="18"/>
                <w:szCs w:val="18"/>
                <w:vertAlign w:val="superscript"/>
              </w:rPr>
              <w:t>†</w:t>
            </w:r>
            <w:r w:rsidRPr="436E9498">
              <w:rPr>
                <w:b/>
                <w:bCs/>
                <w:color w:val="201F1E"/>
                <w:sz w:val="18"/>
                <w:szCs w:val="18"/>
              </w:rPr>
              <w:t xml:space="preserve"> </w:t>
            </w:r>
          </w:p>
        </w:tc>
        <w:tc>
          <w:tcPr>
            <w:tcW w:w="8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07436BB" w14:textId="46A0F6AA" w:rsidR="436E9498" w:rsidRDefault="436E9498" w:rsidP="436E9498">
            <w:pPr>
              <w:pStyle w:val="BodyA"/>
              <w:jc w:val="both"/>
              <w:rPr>
                <w:color w:val="000000" w:themeColor="text1"/>
                <w:sz w:val="18"/>
                <w:szCs w:val="18"/>
              </w:rPr>
            </w:pPr>
            <w:r w:rsidRPr="436E9498">
              <w:rPr>
                <w:color w:val="000000" w:themeColor="text1"/>
                <w:sz w:val="18"/>
                <w:szCs w:val="18"/>
              </w:rPr>
              <w:t>83%</w:t>
            </w:r>
          </w:p>
          <w:p w14:paraId="37BDD060" w14:textId="57F60916" w:rsidR="436E9498" w:rsidRDefault="436E9498" w:rsidP="436E9498">
            <w:pPr>
              <w:pStyle w:val="BodyA"/>
              <w:jc w:val="both"/>
              <w:rPr>
                <w:color w:val="000000" w:themeColor="text1"/>
                <w:sz w:val="18"/>
                <w:szCs w:val="18"/>
              </w:rPr>
            </w:pPr>
            <w:r w:rsidRPr="436E9498">
              <w:rPr>
                <w:color w:val="000000" w:themeColor="text1"/>
                <w:sz w:val="18"/>
                <w:szCs w:val="18"/>
              </w:rPr>
              <w:t>(5/6)</w:t>
            </w:r>
          </w:p>
        </w:tc>
        <w:tc>
          <w:tcPr>
            <w:tcW w:w="8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E85AAD6" w14:textId="0288DDA1" w:rsidR="436E9498" w:rsidRDefault="436E9498" w:rsidP="436E9498">
            <w:pPr>
              <w:pStyle w:val="BodyA"/>
              <w:jc w:val="both"/>
              <w:rPr>
                <w:color w:val="000000" w:themeColor="text1"/>
                <w:sz w:val="18"/>
                <w:szCs w:val="18"/>
              </w:rPr>
            </w:pPr>
            <w:r w:rsidRPr="436E9498">
              <w:rPr>
                <w:color w:val="000000" w:themeColor="text1"/>
                <w:sz w:val="18"/>
                <w:szCs w:val="18"/>
              </w:rPr>
              <w:t>100% (2/2)</w:t>
            </w:r>
          </w:p>
        </w:tc>
        <w:tc>
          <w:tcPr>
            <w:tcW w:w="8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4A89A03" w14:textId="6E2A85D7" w:rsidR="436E9498" w:rsidRDefault="436E9498" w:rsidP="436E9498">
            <w:pPr>
              <w:pStyle w:val="BodyA"/>
              <w:jc w:val="both"/>
              <w:rPr>
                <w:color w:val="000000" w:themeColor="text1"/>
                <w:sz w:val="18"/>
                <w:szCs w:val="18"/>
              </w:rPr>
            </w:pPr>
            <w:r w:rsidRPr="436E9498">
              <w:rPr>
                <w:color w:val="000000" w:themeColor="text1"/>
                <w:sz w:val="18"/>
                <w:szCs w:val="18"/>
              </w:rPr>
              <w:t>100% (2/2)</w:t>
            </w:r>
          </w:p>
        </w:tc>
        <w:tc>
          <w:tcPr>
            <w:tcW w:w="8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E67C1B2" w14:textId="5279A419" w:rsidR="436E9498" w:rsidRDefault="436E9498" w:rsidP="436E9498">
            <w:pPr>
              <w:pStyle w:val="BodyA"/>
              <w:jc w:val="both"/>
              <w:rPr>
                <w:color w:val="000000" w:themeColor="text1"/>
                <w:sz w:val="18"/>
                <w:szCs w:val="18"/>
              </w:rPr>
            </w:pPr>
            <w:r w:rsidRPr="436E9498">
              <w:rPr>
                <w:color w:val="000000" w:themeColor="text1"/>
                <w:sz w:val="18"/>
                <w:szCs w:val="18"/>
              </w:rPr>
              <w:t>100% (4/4)</w:t>
            </w:r>
          </w:p>
        </w:tc>
        <w:tc>
          <w:tcPr>
            <w:tcW w:w="8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1C624CF" w14:textId="1357F871" w:rsidR="2EE1129E" w:rsidRDefault="2EE1129E" w:rsidP="436E9498">
            <w:pPr>
              <w:pStyle w:val="BodyA"/>
              <w:jc w:val="both"/>
              <w:rPr>
                <w:color w:val="000000" w:themeColor="text1"/>
                <w:sz w:val="18"/>
                <w:szCs w:val="18"/>
              </w:rPr>
            </w:pPr>
            <w:r w:rsidRPr="436E9498">
              <w:rPr>
                <w:color w:val="000000" w:themeColor="text1"/>
                <w:sz w:val="18"/>
                <w:szCs w:val="18"/>
              </w:rPr>
              <w:t>100%</w:t>
            </w:r>
          </w:p>
          <w:p w14:paraId="7227C349" w14:textId="35C3E62A" w:rsidR="2EE1129E" w:rsidRDefault="2EE1129E" w:rsidP="436E9498">
            <w:pPr>
              <w:pStyle w:val="BodyA"/>
            </w:pPr>
            <w:r w:rsidRPr="436E9498">
              <w:rPr>
                <w:color w:val="000000" w:themeColor="text1"/>
                <w:sz w:val="18"/>
                <w:szCs w:val="18"/>
              </w:rPr>
              <w:t>(5/5)</w:t>
            </w:r>
          </w:p>
        </w:tc>
      </w:tr>
      <w:tr w:rsidR="436E9498" w14:paraId="5E641176" w14:textId="77777777" w:rsidTr="436E9498">
        <w:trPr>
          <w:trHeight w:val="225"/>
        </w:trPr>
        <w:tc>
          <w:tcPr>
            <w:tcW w:w="600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75" w:type="dxa"/>
              <w:bottom w:w="75" w:type="dxa"/>
              <w:right w:w="75" w:type="dxa"/>
            </w:tcMar>
          </w:tcPr>
          <w:p w14:paraId="76368C0F" w14:textId="6D09F28C" w:rsidR="436E9498" w:rsidRDefault="436E9498" w:rsidP="436E9498">
            <w:pPr>
              <w:pStyle w:val="BodyA"/>
              <w:rPr>
                <w:color w:val="201F1E"/>
                <w:sz w:val="18"/>
                <w:szCs w:val="18"/>
              </w:rPr>
            </w:pPr>
            <w:r w:rsidRPr="436E9498">
              <w:rPr>
                <w:b/>
                <w:bCs/>
                <w:color w:val="201F1E"/>
                <w:sz w:val="18"/>
                <w:szCs w:val="18"/>
              </w:rPr>
              <w:t>MCCD completion within 3 days</w:t>
            </w:r>
          </w:p>
        </w:tc>
        <w:tc>
          <w:tcPr>
            <w:tcW w:w="8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B8E92BC" w14:textId="2D51AE6D" w:rsidR="436E9498" w:rsidRDefault="436E9498" w:rsidP="436E9498">
            <w:pPr>
              <w:pStyle w:val="BodyA"/>
              <w:jc w:val="both"/>
              <w:rPr>
                <w:color w:val="000000" w:themeColor="text1"/>
                <w:sz w:val="18"/>
                <w:szCs w:val="18"/>
              </w:rPr>
            </w:pPr>
            <w:r w:rsidRPr="436E9498">
              <w:rPr>
                <w:color w:val="000000" w:themeColor="text1"/>
                <w:sz w:val="18"/>
                <w:szCs w:val="18"/>
              </w:rPr>
              <w:t>97%</w:t>
            </w:r>
          </w:p>
        </w:tc>
        <w:tc>
          <w:tcPr>
            <w:tcW w:w="8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5D9CABF" w14:textId="52580426" w:rsidR="436E9498" w:rsidRDefault="436E9498" w:rsidP="436E9498">
            <w:pPr>
              <w:pStyle w:val="BodyA"/>
              <w:jc w:val="both"/>
              <w:rPr>
                <w:color w:val="000000" w:themeColor="text1"/>
                <w:sz w:val="18"/>
                <w:szCs w:val="18"/>
              </w:rPr>
            </w:pPr>
            <w:r w:rsidRPr="436E9498">
              <w:rPr>
                <w:color w:val="000000" w:themeColor="text1"/>
                <w:sz w:val="18"/>
                <w:szCs w:val="18"/>
              </w:rPr>
              <w:t>91.4%</w:t>
            </w:r>
          </w:p>
        </w:tc>
        <w:tc>
          <w:tcPr>
            <w:tcW w:w="8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E97B8CE" w14:textId="5DC1A562" w:rsidR="436E9498" w:rsidRDefault="436E9498" w:rsidP="436E9498">
            <w:pPr>
              <w:pStyle w:val="BodyA"/>
              <w:jc w:val="both"/>
              <w:rPr>
                <w:color w:val="000000" w:themeColor="text1"/>
                <w:sz w:val="18"/>
                <w:szCs w:val="18"/>
              </w:rPr>
            </w:pPr>
            <w:r w:rsidRPr="436E9498">
              <w:rPr>
                <w:color w:val="000000" w:themeColor="text1"/>
                <w:sz w:val="18"/>
                <w:szCs w:val="18"/>
              </w:rPr>
              <w:t>91.0%</w:t>
            </w:r>
          </w:p>
        </w:tc>
        <w:tc>
          <w:tcPr>
            <w:tcW w:w="8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FA40FC0" w14:textId="7CE8E373" w:rsidR="436E9498" w:rsidRDefault="436E9498" w:rsidP="436E9498">
            <w:pPr>
              <w:pStyle w:val="BodyA"/>
              <w:jc w:val="both"/>
              <w:rPr>
                <w:color w:val="000000" w:themeColor="text1"/>
                <w:sz w:val="18"/>
                <w:szCs w:val="18"/>
              </w:rPr>
            </w:pPr>
            <w:r w:rsidRPr="436E9498">
              <w:rPr>
                <w:color w:val="000000" w:themeColor="text1"/>
                <w:sz w:val="18"/>
                <w:szCs w:val="18"/>
              </w:rPr>
              <w:t>91.3%</w:t>
            </w:r>
          </w:p>
        </w:tc>
        <w:tc>
          <w:tcPr>
            <w:tcW w:w="8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5D3FE10" w14:textId="46F909CB" w:rsidR="67E09200" w:rsidRDefault="67E09200" w:rsidP="436E9498">
            <w:pPr>
              <w:pStyle w:val="BodyA"/>
              <w:jc w:val="both"/>
              <w:rPr>
                <w:color w:val="000000" w:themeColor="text1"/>
                <w:sz w:val="18"/>
                <w:szCs w:val="18"/>
              </w:rPr>
            </w:pPr>
            <w:r w:rsidRPr="436E9498">
              <w:rPr>
                <w:color w:val="000000" w:themeColor="text1"/>
                <w:sz w:val="18"/>
                <w:szCs w:val="18"/>
              </w:rPr>
              <w:t>90.1%</w:t>
            </w:r>
          </w:p>
        </w:tc>
      </w:tr>
      <w:tr w:rsidR="436E9498" w14:paraId="4FF95F0D" w14:textId="77777777" w:rsidTr="436E9498">
        <w:trPr>
          <w:trHeight w:val="225"/>
        </w:trPr>
        <w:tc>
          <w:tcPr>
            <w:tcW w:w="600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75" w:type="dxa"/>
              <w:bottom w:w="75" w:type="dxa"/>
              <w:right w:w="75" w:type="dxa"/>
            </w:tcMar>
          </w:tcPr>
          <w:p w14:paraId="44EB46C9" w14:textId="3E7BA0CB" w:rsidR="436E9498" w:rsidRDefault="436E9498" w:rsidP="436E9498">
            <w:pPr>
              <w:pStyle w:val="BodyA"/>
              <w:rPr>
                <w:color w:val="201F1E"/>
                <w:sz w:val="18"/>
                <w:szCs w:val="18"/>
              </w:rPr>
            </w:pPr>
            <w:r w:rsidRPr="436E9498">
              <w:rPr>
                <w:b/>
                <w:bCs/>
                <w:color w:val="201F1E"/>
                <w:sz w:val="18"/>
                <w:szCs w:val="18"/>
              </w:rPr>
              <w:t>Number of Relatives directed to PALS</w:t>
            </w:r>
          </w:p>
        </w:tc>
        <w:tc>
          <w:tcPr>
            <w:tcW w:w="8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2F39B35" w14:textId="36E239D6" w:rsidR="436E9498" w:rsidRDefault="436E9498" w:rsidP="436E9498">
            <w:pPr>
              <w:pStyle w:val="BodyA"/>
              <w:jc w:val="both"/>
              <w:rPr>
                <w:color w:val="000000" w:themeColor="text1"/>
                <w:sz w:val="18"/>
                <w:szCs w:val="18"/>
              </w:rPr>
            </w:pPr>
            <w:r w:rsidRPr="436E9498">
              <w:rPr>
                <w:color w:val="000000" w:themeColor="text1"/>
                <w:sz w:val="18"/>
                <w:szCs w:val="18"/>
              </w:rPr>
              <w:t>7</w:t>
            </w:r>
          </w:p>
        </w:tc>
        <w:tc>
          <w:tcPr>
            <w:tcW w:w="8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077E815" w14:textId="6E6F307B" w:rsidR="436E9498" w:rsidRDefault="436E9498" w:rsidP="436E9498">
            <w:pPr>
              <w:pStyle w:val="BodyA"/>
              <w:jc w:val="both"/>
              <w:rPr>
                <w:color w:val="000000" w:themeColor="text1"/>
                <w:sz w:val="18"/>
                <w:szCs w:val="18"/>
              </w:rPr>
            </w:pPr>
            <w:r w:rsidRPr="436E9498">
              <w:rPr>
                <w:color w:val="000000" w:themeColor="text1"/>
                <w:sz w:val="18"/>
                <w:szCs w:val="18"/>
              </w:rPr>
              <w:t>13</w:t>
            </w:r>
          </w:p>
        </w:tc>
        <w:tc>
          <w:tcPr>
            <w:tcW w:w="8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E44514B" w14:textId="584A4A15" w:rsidR="436E9498" w:rsidRDefault="436E9498" w:rsidP="436E9498">
            <w:pPr>
              <w:pStyle w:val="BodyA"/>
              <w:jc w:val="both"/>
              <w:rPr>
                <w:color w:val="000000" w:themeColor="text1"/>
                <w:sz w:val="18"/>
                <w:szCs w:val="18"/>
              </w:rPr>
            </w:pPr>
            <w:r w:rsidRPr="436E9498">
              <w:rPr>
                <w:color w:val="000000" w:themeColor="text1"/>
                <w:sz w:val="18"/>
                <w:szCs w:val="18"/>
              </w:rPr>
              <w:t>8</w:t>
            </w:r>
          </w:p>
        </w:tc>
        <w:tc>
          <w:tcPr>
            <w:tcW w:w="8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0E4560F" w14:textId="01732363" w:rsidR="436E9498" w:rsidRDefault="436E9498" w:rsidP="436E9498">
            <w:pPr>
              <w:pStyle w:val="BodyA"/>
              <w:jc w:val="both"/>
              <w:rPr>
                <w:color w:val="000000" w:themeColor="text1"/>
                <w:sz w:val="18"/>
                <w:szCs w:val="18"/>
              </w:rPr>
            </w:pPr>
            <w:r w:rsidRPr="436E9498">
              <w:rPr>
                <w:color w:val="000000" w:themeColor="text1"/>
                <w:sz w:val="18"/>
                <w:szCs w:val="18"/>
              </w:rPr>
              <w:t>8</w:t>
            </w:r>
          </w:p>
        </w:tc>
        <w:tc>
          <w:tcPr>
            <w:tcW w:w="8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B57CA3D" w14:textId="70502D79" w:rsidR="7FB156B7" w:rsidRDefault="7FB156B7" w:rsidP="436E9498">
            <w:pPr>
              <w:pStyle w:val="BodyA"/>
              <w:jc w:val="both"/>
              <w:rPr>
                <w:color w:val="000000" w:themeColor="text1"/>
                <w:sz w:val="18"/>
                <w:szCs w:val="18"/>
              </w:rPr>
            </w:pPr>
            <w:r w:rsidRPr="436E9498">
              <w:rPr>
                <w:color w:val="000000" w:themeColor="text1"/>
                <w:sz w:val="18"/>
                <w:szCs w:val="18"/>
              </w:rPr>
              <w:t>11</w:t>
            </w:r>
          </w:p>
        </w:tc>
      </w:tr>
      <w:tr w:rsidR="436E9498" w14:paraId="66B6A1EE" w14:textId="77777777" w:rsidTr="436E9498">
        <w:trPr>
          <w:trHeight w:val="435"/>
        </w:trPr>
        <w:tc>
          <w:tcPr>
            <w:tcW w:w="600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75" w:type="dxa"/>
              <w:bottom w:w="75" w:type="dxa"/>
              <w:right w:w="75" w:type="dxa"/>
            </w:tcMar>
          </w:tcPr>
          <w:p w14:paraId="2D62B805" w14:textId="35CF37A0" w:rsidR="436E9498" w:rsidRDefault="436E9498" w:rsidP="436E9498">
            <w:pPr>
              <w:pStyle w:val="BodyA"/>
              <w:rPr>
                <w:color w:val="201F1E"/>
                <w:sz w:val="18"/>
                <w:szCs w:val="18"/>
              </w:rPr>
            </w:pPr>
            <w:r w:rsidRPr="436E9498">
              <w:rPr>
                <w:b/>
                <w:bCs/>
                <w:color w:val="201F1E"/>
                <w:sz w:val="18"/>
                <w:szCs w:val="18"/>
              </w:rPr>
              <w:t>Number of MCCDs rejected after Medical Examiner scrutiny</w:t>
            </w:r>
          </w:p>
        </w:tc>
        <w:tc>
          <w:tcPr>
            <w:tcW w:w="8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99EB25A" w14:textId="4C58CEA1" w:rsidR="436E9498" w:rsidRDefault="436E9498" w:rsidP="436E9498">
            <w:pPr>
              <w:pStyle w:val="BodyA"/>
              <w:jc w:val="both"/>
              <w:rPr>
                <w:color w:val="000000" w:themeColor="text1"/>
                <w:sz w:val="18"/>
                <w:szCs w:val="18"/>
              </w:rPr>
            </w:pPr>
            <w:r w:rsidRPr="436E9498">
              <w:rPr>
                <w:color w:val="000000" w:themeColor="text1"/>
                <w:sz w:val="18"/>
                <w:szCs w:val="18"/>
              </w:rPr>
              <w:t>4</w:t>
            </w:r>
          </w:p>
        </w:tc>
        <w:tc>
          <w:tcPr>
            <w:tcW w:w="8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597C948" w14:textId="4297CA29" w:rsidR="436E9498" w:rsidRDefault="436E9498" w:rsidP="436E9498">
            <w:pPr>
              <w:pStyle w:val="BodyA"/>
              <w:jc w:val="both"/>
              <w:rPr>
                <w:color w:val="000000" w:themeColor="text1"/>
                <w:sz w:val="18"/>
                <w:szCs w:val="18"/>
              </w:rPr>
            </w:pPr>
            <w:r w:rsidRPr="436E9498">
              <w:rPr>
                <w:color w:val="000000" w:themeColor="text1"/>
                <w:sz w:val="18"/>
                <w:szCs w:val="18"/>
              </w:rPr>
              <w:t>18</w:t>
            </w:r>
          </w:p>
        </w:tc>
        <w:tc>
          <w:tcPr>
            <w:tcW w:w="8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2A8B8A6" w14:textId="2DED2ACC" w:rsidR="436E9498" w:rsidRDefault="436E9498" w:rsidP="436E9498">
            <w:pPr>
              <w:pStyle w:val="BodyA"/>
              <w:jc w:val="both"/>
              <w:rPr>
                <w:color w:val="000000" w:themeColor="text1"/>
                <w:sz w:val="18"/>
                <w:szCs w:val="18"/>
              </w:rPr>
            </w:pPr>
            <w:r w:rsidRPr="436E9498">
              <w:rPr>
                <w:color w:val="000000" w:themeColor="text1"/>
                <w:sz w:val="18"/>
                <w:szCs w:val="18"/>
              </w:rPr>
              <w:t>8</w:t>
            </w:r>
          </w:p>
        </w:tc>
        <w:tc>
          <w:tcPr>
            <w:tcW w:w="8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60F7943" w14:textId="6AB6486D" w:rsidR="436E9498" w:rsidRDefault="436E9498" w:rsidP="436E9498">
            <w:pPr>
              <w:pStyle w:val="BodyA"/>
              <w:jc w:val="both"/>
              <w:rPr>
                <w:color w:val="000000" w:themeColor="text1"/>
                <w:sz w:val="18"/>
                <w:szCs w:val="18"/>
              </w:rPr>
            </w:pPr>
            <w:r w:rsidRPr="436E9498">
              <w:rPr>
                <w:color w:val="000000" w:themeColor="text1"/>
                <w:sz w:val="18"/>
                <w:szCs w:val="18"/>
              </w:rPr>
              <w:t>4</w:t>
            </w:r>
          </w:p>
        </w:tc>
        <w:tc>
          <w:tcPr>
            <w:tcW w:w="8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F3CB887" w14:textId="7F7EE6F4" w:rsidR="34B86C0D" w:rsidRDefault="34B86C0D" w:rsidP="436E9498">
            <w:pPr>
              <w:pStyle w:val="BodyA"/>
              <w:jc w:val="both"/>
              <w:rPr>
                <w:color w:val="000000" w:themeColor="text1"/>
                <w:sz w:val="18"/>
                <w:szCs w:val="18"/>
              </w:rPr>
            </w:pPr>
            <w:r w:rsidRPr="436E9498">
              <w:rPr>
                <w:color w:val="000000" w:themeColor="text1"/>
                <w:sz w:val="18"/>
                <w:szCs w:val="18"/>
              </w:rPr>
              <w:t>3</w:t>
            </w:r>
          </w:p>
        </w:tc>
      </w:tr>
      <w:tr w:rsidR="436E9498" w14:paraId="2BCAEE05" w14:textId="77777777" w:rsidTr="436E9498">
        <w:trPr>
          <w:trHeight w:val="420"/>
        </w:trPr>
        <w:tc>
          <w:tcPr>
            <w:tcW w:w="600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75" w:type="dxa"/>
              <w:bottom w:w="75" w:type="dxa"/>
              <w:right w:w="75" w:type="dxa"/>
            </w:tcMar>
          </w:tcPr>
          <w:p w14:paraId="3A7C4B98" w14:textId="3C471787" w:rsidR="436E9498" w:rsidRDefault="436E9498" w:rsidP="436E9498">
            <w:pPr>
              <w:pStyle w:val="BodyA"/>
              <w:rPr>
                <w:color w:val="201F1E"/>
                <w:sz w:val="18"/>
                <w:szCs w:val="18"/>
              </w:rPr>
            </w:pPr>
            <w:r w:rsidRPr="436E9498">
              <w:rPr>
                <w:b/>
                <w:bCs/>
                <w:color w:val="201F1E"/>
                <w:sz w:val="18"/>
                <w:szCs w:val="18"/>
              </w:rPr>
              <w:t>Deaths of people with Mental Health or Learning Disability diagnoses</w:t>
            </w:r>
          </w:p>
        </w:tc>
        <w:tc>
          <w:tcPr>
            <w:tcW w:w="8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B16D533" w14:textId="62CEAD0B" w:rsidR="436E9498" w:rsidRDefault="436E9498" w:rsidP="436E9498">
            <w:pPr>
              <w:pStyle w:val="BodyA"/>
              <w:jc w:val="both"/>
              <w:rPr>
                <w:color w:val="000000" w:themeColor="text1"/>
                <w:sz w:val="18"/>
                <w:szCs w:val="18"/>
              </w:rPr>
            </w:pPr>
            <w:r w:rsidRPr="436E9498">
              <w:rPr>
                <w:color w:val="000000" w:themeColor="text1"/>
                <w:sz w:val="18"/>
                <w:szCs w:val="18"/>
              </w:rPr>
              <w:t>4</w:t>
            </w:r>
          </w:p>
        </w:tc>
        <w:tc>
          <w:tcPr>
            <w:tcW w:w="8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B2C3077" w14:textId="0FAEB919" w:rsidR="436E9498" w:rsidRDefault="436E9498" w:rsidP="436E9498">
            <w:pPr>
              <w:pStyle w:val="BodyA"/>
              <w:jc w:val="both"/>
              <w:rPr>
                <w:color w:val="000000" w:themeColor="text1"/>
                <w:sz w:val="18"/>
                <w:szCs w:val="18"/>
              </w:rPr>
            </w:pPr>
            <w:r w:rsidRPr="436E9498">
              <w:rPr>
                <w:color w:val="000000" w:themeColor="text1"/>
                <w:sz w:val="18"/>
                <w:szCs w:val="18"/>
              </w:rPr>
              <w:t>0</w:t>
            </w:r>
          </w:p>
        </w:tc>
        <w:tc>
          <w:tcPr>
            <w:tcW w:w="8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3D3FAA6" w14:textId="2D6AA5A5" w:rsidR="436E9498" w:rsidRDefault="436E9498" w:rsidP="436E9498">
            <w:pPr>
              <w:pStyle w:val="BodyA"/>
              <w:jc w:val="both"/>
              <w:rPr>
                <w:color w:val="000000" w:themeColor="text1"/>
                <w:sz w:val="18"/>
                <w:szCs w:val="18"/>
              </w:rPr>
            </w:pPr>
            <w:r w:rsidRPr="436E9498">
              <w:rPr>
                <w:color w:val="000000" w:themeColor="text1"/>
                <w:sz w:val="18"/>
                <w:szCs w:val="18"/>
              </w:rPr>
              <w:t>0</w:t>
            </w:r>
          </w:p>
        </w:tc>
        <w:tc>
          <w:tcPr>
            <w:tcW w:w="8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67662FC" w14:textId="27EEA99A" w:rsidR="436E9498" w:rsidRDefault="436E9498" w:rsidP="436E9498">
            <w:pPr>
              <w:pStyle w:val="BodyA"/>
              <w:jc w:val="both"/>
              <w:rPr>
                <w:color w:val="000000" w:themeColor="text1"/>
                <w:sz w:val="18"/>
                <w:szCs w:val="18"/>
              </w:rPr>
            </w:pPr>
            <w:r w:rsidRPr="436E9498">
              <w:rPr>
                <w:color w:val="000000" w:themeColor="text1"/>
                <w:sz w:val="18"/>
                <w:szCs w:val="18"/>
              </w:rPr>
              <w:t>1</w:t>
            </w:r>
          </w:p>
        </w:tc>
        <w:tc>
          <w:tcPr>
            <w:tcW w:w="8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A10DFDA" w14:textId="7E44B3F9" w:rsidR="46B9DC51" w:rsidRDefault="46B9DC51" w:rsidP="436E9498">
            <w:pPr>
              <w:pStyle w:val="BodyA"/>
              <w:jc w:val="both"/>
              <w:rPr>
                <w:color w:val="000000" w:themeColor="text1"/>
                <w:sz w:val="18"/>
                <w:szCs w:val="18"/>
              </w:rPr>
            </w:pPr>
            <w:r w:rsidRPr="436E9498">
              <w:rPr>
                <w:color w:val="000000" w:themeColor="text1"/>
                <w:sz w:val="18"/>
                <w:szCs w:val="18"/>
              </w:rPr>
              <w:t>0</w:t>
            </w:r>
          </w:p>
        </w:tc>
      </w:tr>
    </w:tbl>
    <w:p w14:paraId="3FE9F23F" w14:textId="56C6B59C" w:rsidR="00E7079D" w:rsidRDefault="00E7079D" w:rsidP="436E9498">
      <w:pPr>
        <w:pStyle w:val="BodyA"/>
        <w:widowControl w:val="0"/>
      </w:pPr>
    </w:p>
    <w:p w14:paraId="4301AB71" w14:textId="75CFE371" w:rsidR="00E7079D" w:rsidRDefault="00E7079D" w:rsidP="436E9498">
      <w:pPr>
        <w:pStyle w:val="BodyA"/>
        <w:widowControl w:val="0"/>
        <w:spacing w:after="200"/>
        <w:jc w:val="both"/>
        <w:rPr>
          <w:sz w:val="24"/>
          <w:szCs w:val="24"/>
        </w:rPr>
      </w:pPr>
    </w:p>
    <w:p w14:paraId="13675DDE" w14:textId="3504AF80" w:rsidR="00E7079D" w:rsidRDefault="00E7079D" w:rsidP="436E9498">
      <w:pPr>
        <w:pStyle w:val="BodyA"/>
        <w:widowControl w:val="0"/>
        <w:spacing w:after="200"/>
        <w:jc w:val="both"/>
        <w:rPr>
          <w:sz w:val="24"/>
          <w:szCs w:val="24"/>
        </w:rPr>
      </w:pPr>
    </w:p>
    <w:p w14:paraId="4475C5EC" w14:textId="5A55BCCC" w:rsidR="00E7079D" w:rsidRDefault="00E7079D" w:rsidP="436E9498">
      <w:pPr>
        <w:pStyle w:val="BodyA"/>
        <w:widowControl w:val="0"/>
        <w:spacing w:after="200"/>
        <w:jc w:val="both"/>
        <w:rPr>
          <w:sz w:val="24"/>
          <w:szCs w:val="24"/>
        </w:rPr>
      </w:pPr>
    </w:p>
    <w:p w14:paraId="3936E13C" w14:textId="1FB1B2CB" w:rsidR="00E7079D" w:rsidRDefault="00E7079D" w:rsidP="436E9498">
      <w:pPr>
        <w:pStyle w:val="BodyA"/>
        <w:widowControl w:val="0"/>
        <w:spacing w:after="200"/>
        <w:jc w:val="both"/>
        <w:rPr>
          <w:sz w:val="24"/>
          <w:szCs w:val="24"/>
        </w:rPr>
      </w:pPr>
    </w:p>
    <w:p w14:paraId="47FD5C0E" w14:textId="39B15C4D" w:rsidR="00E7079D" w:rsidRDefault="538CB0BB" w:rsidP="436E9498">
      <w:pPr>
        <w:pStyle w:val="BodyA"/>
        <w:widowControl w:val="0"/>
        <w:spacing w:after="200"/>
        <w:jc w:val="both"/>
        <w:rPr>
          <w:sz w:val="24"/>
          <w:szCs w:val="24"/>
        </w:rPr>
      </w:pPr>
      <w:r w:rsidRPr="436E9498">
        <w:rPr>
          <w:sz w:val="24"/>
          <w:szCs w:val="24"/>
        </w:rPr>
        <w:t xml:space="preserve">All deaths </w:t>
      </w:r>
      <w:r w:rsidR="1E0E1212" w:rsidRPr="436E9498">
        <w:rPr>
          <w:sz w:val="24"/>
          <w:szCs w:val="24"/>
        </w:rPr>
        <w:t xml:space="preserve">in the Trust </w:t>
      </w:r>
      <w:r w:rsidRPr="436E9498">
        <w:rPr>
          <w:sz w:val="24"/>
          <w:szCs w:val="24"/>
        </w:rPr>
        <w:t xml:space="preserve">undergo review through the Medical Examiner system. </w:t>
      </w:r>
      <w:r w:rsidR="1FA133C6" w:rsidRPr="436E9498">
        <w:rPr>
          <w:sz w:val="24"/>
          <w:szCs w:val="24"/>
        </w:rPr>
        <w:t xml:space="preserve">Additional external review takes place for deaths accepted by the </w:t>
      </w:r>
      <w:r w:rsidR="51E1298B" w:rsidRPr="436E9498">
        <w:rPr>
          <w:sz w:val="24"/>
          <w:szCs w:val="24"/>
        </w:rPr>
        <w:t>coroner</w:t>
      </w:r>
      <w:r w:rsidR="1FA133C6" w:rsidRPr="436E9498">
        <w:rPr>
          <w:sz w:val="24"/>
          <w:szCs w:val="24"/>
        </w:rPr>
        <w:t xml:space="preserve"> for further investigation, </w:t>
      </w:r>
      <w:proofErr w:type="spellStart"/>
      <w:r w:rsidR="1FA133C6" w:rsidRPr="436E9498">
        <w:rPr>
          <w:sz w:val="24"/>
          <w:szCs w:val="24"/>
        </w:rPr>
        <w:t>paediatric</w:t>
      </w:r>
      <w:proofErr w:type="spellEnd"/>
      <w:r w:rsidR="1FA133C6" w:rsidRPr="436E9498">
        <w:rPr>
          <w:sz w:val="24"/>
          <w:szCs w:val="24"/>
        </w:rPr>
        <w:t xml:space="preserve"> deaths, perinatal deaths and deaths in patients with lea</w:t>
      </w:r>
      <w:r w:rsidR="777E2068" w:rsidRPr="436E9498">
        <w:rPr>
          <w:sz w:val="24"/>
          <w:szCs w:val="24"/>
        </w:rPr>
        <w:t xml:space="preserve">rning difficulties. </w:t>
      </w:r>
    </w:p>
    <w:p w14:paraId="47B51087" w14:textId="0C592820" w:rsidR="00E7079D" w:rsidRDefault="538CB0BB" w:rsidP="436E9498">
      <w:pPr>
        <w:pStyle w:val="BodyA"/>
        <w:widowControl w:val="0"/>
        <w:spacing w:after="200"/>
        <w:jc w:val="both"/>
        <w:rPr>
          <w:sz w:val="24"/>
          <w:szCs w:val="24"/>
        </w:rPr>
      </w:pPr>
      <w:r w:rsidRPr="436E9498">
        <w:rPr>
          <w:sz w:val="24"/>
          <w:szCs w:val="24"/>
        </w:rPr>
        <w:t xml:space="preserve">The </w:t>
      </w:r>
      <w:r w:rsidR="378A5A03" w:rsidRPr="436E9498">
        <w:rPr>
          <w:sz w:val="24"/>
          <w:szCs w:val="24"/>
        </w:rPr>
        <w:t xml:space="preserve">ME </w:t>
      </w:r>
      <w:r w:rsidRPr="436E9498">
        <w:rPr>
          <w:sz w:val="24"/>
          <w:szCs w:val="24"/>
        </w:rPr>
        <w:t>system offers a</w:t>
      </w:r>
      <w:r w:rsidR="2CFCBF12" w:rsidRPr="436E9498">
        <w:rPr>
          <w:sz w:val="24"/>
          <w:szCs w:val="24"/>
        </w:rPr>
        <w:t>n objective review of the care delivered during the last hospital admission and is a</w:t>
      </w:r>
      <w:r w:rsidRPr="436E9498">
        <w:rPr>
          <w:sz w:val="24"/>
          <w:szCs w:val="24"/>
        </w:rPr>
        <w:t xml:space="preserve"> point of contact for bereaved families or clinical teams to raise concerns about care prior to the death. </w:t>
      </w:r>
      <w:r w:rsidR="4EA6C1CC" w:rsidRPr="436E9498">
        <w:rPr>
          <w:sz w:val="24"/>
          <w:szCs w:val="24"/>
        </w:rPr>
        <w:t>Issues with care</w:t>
      </w:r>
      <w:r w:rsidRPr="436E9498">
        <w:rPr>
          <w:sz w:val="24"/>
          <w:szCs w:val="24"/>
        </w:rPr>
        <w:t xml:space="preserve"> can also be </w:t>
      </w:r>
      <w:r w:rsidR="0AA3AA7B" w:rsidRPr="436E9498">
        <w:rPr>
          <w:sz w:val="24"/>
          <w:szCs w:val="24"/>
        </w:rPr>
        <w:t>highlighted</w:t>
      </w:r>
      <w:r w:rsidRPr="436E9498">
        <w:rPr>
          <w:sz w:val="24"/>
          <w:szCs w:val="24"/>
        </w:rPr>
        <w:t xml:space="preserve"> by the Medical Examiner.</w:t>
      </w:r>
    </w:p>
    <w:p w14:paraId="1C698914" w14:textId="7A5447EB" w:rsidR="00E7079D" w:rsidRDefault="538CB0BB" w:rsidP="436E9498">
      <w:pPr>
        <w:pStyle w:val="BodyA"/>
        <w:widowControl w:val="0"/>
        <w:spacing w:after="200"/>
        <w:jc w:val="both"/>
        <w:rPr>
          <w:sz w:val="24"/>
          <w:szCs w:val="24"/>
        </w:rPr>
      </w:pPr>
      <w:r w:rsidRPr="436E9498">
        <w:rPr>
          <w:sz w:val="24"/>
          <w:szCs w:val="24"/>
        </w:rPr>
        <w:t>Deaths w</w:t>
      </w:r>
      <w:r w:rsidR="5D1F75C4" w:rsidRPr="436E9498">
        <w:rPr>
          <w:sz w:val="24"/>
          <w:szCs w:val="24"/>
        </w:rPr>
        <w:t>here</w:t>
      </w:r>
      <w:r w:rsidRPr="436E9498">
        <w:rPr>
          <w:sz w:val="24"/>
          <w:szCs w:val="24"/>
        </w:rPr>
        <w:t xml:space="preserve"> concerns</w:t>
      </w:r>
      <w:r w:rsidR="23628248" w:rsidRPr="436E9498">
        <w:rPr>
          <w:sz w:val="24"/>
          <w:szCs w:val="24"/>
        </w:rPr>
        <w:t xml:space="preserve"> are raised</w:t>
      </w:r>
      <w:r w:rsidRPr="436E9498">
        <w:rPr>
          <w:sz w:val="24"/>
          <w:szCs w:val="24"/>
        </w:rPr>
        <w:t xml:space="preserve"> regarding </w:t>
      </w:r>
      <w:r w:rsidR="3EAB1C36" w:rsidRPr="436E9498">
        <w:rPr>
          <w:sz w:val="24"/>
          <w:szCs w:val="24"/>
        </w:rPr>
        <w:t>care</w:t>
      </w:r>
      <w:r w:rsidRPr="436E9498">
        <w:rPr>
          <w:sz w:val="24"/>
          <w:szCs w:val="24"/>
        </w:rPr>
        <w:t xml:space="preserve"> undergo a formal Structured Judgement Review (SJR). </w:t>
      </w:r>
      <w:r w:rsidR="4D9D9820" w:rsidRPr="436E9498">
        <w:rPr>
          <w:sz w:val="24"/>
          <w:szCs w:val="24"/>
        </w:rPr>
        <w:t>SJRs are</w:t>
      </w:r>
      <w:r w:rsidR="6CD2D717" w:rsidRPr="436E9498">
        <w:rPr>
          <w:sz w:val="24"/>
          <w:szCs w:val="24"/>
        </w:rPr>
        <w:t xml:space="preserve"> requested in </w:t>
      </w:r>
      <w:r w:rsidR="76CC912C" w:rsidRPr="436E9498">
        <w:rPr>
          <w:sz w:val="24"/>
          <w:szCs w:val="24"/>
        </w:rPr>
        <w:t xml:space="preserve">all </w:t>
      </w:r>
      <w:r w:rsidR="6CD2D717" w:rsidRPr="436E9498">
        <w:rPr>
          <w:sz w:val="24"/>
          <w:szCs w:val="24"/>
        </w:rPr>
        <w:t>surgical deaths</w:t>
      </w:r>
      <w:r w:rsidR="586E4456" w:rsidRPr="436E9498">
        <w:rPr>
          <w:sz w:val="24"/>
          <w:szCs w:val="24"/>
        </w:rPr>
        <w:t>,</w:t>
      </w:r>
      <w:r w:rsidR="454C7794" w:rsidRPr="436E9498">
        <w:rPr>
          <w:sz w:val="24"/>
          <w:szCs w:val="24"/>
        </w:rPr>
        <w:t xml:space="preserve"> a random selection of medical deaths,</w:t>
      </w:r>
      <w:r w:rsidR="586E4456" w:rsidRPr="436E9498">
        <w:rPr>
          <w:sz w:val="24"/>
          <w:szCs w:val="24"/>
        </w:rPr>
        <w:t xml:space="preserve"> </w:t>
      </w:r>
      <w:r w:rsidR="32C8A31E" w:rsidRPr="436E9498">
        <w:rPr>
          <w:sz w:val="24"/>
          <w:szCs w:val="24"/>
        </w:rPr>
        <w:t xml:space="preserve">learning disability deaths, </w:t>
      </w:r>
      <w:r w:rsidR="586E4456" w:rsidRPr="436E9498">
        <w:rPr>
          <w:sz w:val="24"/>
          <w:szCs w:val="24"/>
        </w:rPr>
        <w:t>where sepsis is a cause of death</w:t>
      </w:r>
      <w:r w:rsidR="1CF58DCA" w:rsidRPr="436E9498">
        <w:rPr>
          <w:sz w:val="24"/>
          <w:szCs w:val="24"/>
        </w:rPr>
        <w:t>,</w:t>
      </w:r>
      <w:r w:rsidR="6CD2D717" w:rsidRPr="436E9498">
        <w:rPr>
          <w:sz w:val="24"/>
          <w:szCs w:val="24"/>
        </w:rPr>
        <w:t xml:space="preserve"> and in diagnoses where there is an HSMR alert. </w:t>
      </w:r>
    </w:p>
    <w:p w14:paraId="113F046E" w14:textId="77777777" w:rsidR="00E7079D" w:rsidRDefault="00E7079D" w:rsidP="436E9498">
      <w:pPr>
        <w:pStyle w:val="BodyA"/>
        <w:widowControl w:val="0"/>
        <w:spacing w:after="200"/>
        <w:jc w:val="both"/>
        <w:rPr>
          <w:sz w:val="24"/>
          <w:szCs w:val="24"/>
        </w:rPr>
      </w:pPr>
    </w:p>
    <w:p w14:paraId="3442145B" w14:textId="762C005C" w:rsidR="00E7079D" w:rsidRDefault="538CB0BB" w:rsidP="436E9498">
      <w:pPr>
        <w:pStyle w:val="BodyA"/>
        <w:widowControl w:val="0"/>
        <w:spacing w:after="200"/>
        <w:jc w:val="both"/>
        <w:rPr>
          <w:sz w:val="24"/>
          <w:szCs w:val="24"/>
        </w:rPr>
      </w:pPr>
      <w:r w:rsidRPr="436E9498">
        <w:rPr>
          <w:sz w:val="24"/>
          <w:szCs w:val="24"/>
        </w:rPr>
        <w:t xml:space="preserve">SJRs are carried out by trained reviewers who look at the medical records in a critical manner and comment on specified phases of care. The output of the SJR is </w:t>
      </w:r>
      <w:r w:rsidR="2C6AB715" w:rsidRPr="436E9498">
        <w:rPr>
          <w:sz w:val="24"/>
          <w:szCs w:val="24"/>
        </w:rPr>
        <w:t>discussed</w:t>
      </w:r>
      <w:r w:rsidRPr="436E9498">
        <w:rPr>
          <w:sz w:val="24"/>
          <w:szCs w:val="24"/>
        </w:rPr>
        <w:t xml:space="preserve"> at Mortality and Morbidity (M&amp;M) Meetings. If a death is deemed </w:t>
      </w:r>
      <w:r w:rsidR="56D09301" w:rsidRPr="436E9498">
        <w:rPr>
          <w:sz w:val="24"/>
          <w:szCs w:val="24"/>
        </w:rPr>
        <w:t xml:space="preserve">potentially </w:t>
      </w:r>
      <w:r w:rsidRPr="436E9498">
        <w:rPr>
          <w:sz w:val="24"/>
          <w:szCs w:val="24"/>
        </w:rPr>
        <w:t>avoidable, or overall care delivery is rated as poor, then a second SJR is carried out at which point the case will be graded with an ‘</w:t>
      </w:r>
      <w:proofErr w:type="spellStart"/>
      <w:r w:rsidRPr="436E9498">
        <w:rPr>
          <w:sz w:val="24"/>
          <w:szCs w:val="24"/>
        </w:rPr>
        <w:t>avoidability</w:t>
      </w:r>
      <w:proofErr w:type="spellEnd"/>
      <w:r w:rsidRPr="436E9498">
        <w:rPr>
          <w:sz w:val="24"/>
          <w:szCs w:val="24"/>
        </w:rPr>
        <w:t>’ score. The second SJR form should conclude with key learning messages from the case and actions to be taken.</w:t>
      </w:r>
      <w:r w:rsidR="26810DFC" w:rsidRPr="436E9498">
        <w:rPr>
          <w:sz w:val="24"/>
          <w:szCs w:val="24"/>
        </w:rPr>
        <w:t xml:space="preserve"> </w:t>
      </w:r>
    </w:p>
    <w:p w14:paraId="248C5747" w14:textId="54B6B144" w:rsidR="00E7079D" w:rsidRDefault="4D859329" w:rsidP="436E9498">
      <w:pPr>
        <w:pStyle w:val="BodyA"/>
        <w:widowControl w:val="0"/>
        <w:spacing w:after="200"/>
        <w:jc w:val="both"/>
        <w:rPr>
          <w:sz w:val="24"/>
          <w:szCs w:val="24"/>
        </w:rPr>
      </w:pPr>
      <w:r w:rsidRPr="436E9498">
        <w:rPr>
          <w:sz w:val="24"/>
          <w:szCs w:val="24"/>
        </w:rPr>
        <w:t>In</w:t>
      </w:r>
      <w:r w:rsidR="5DAD226D" w:rsidRPr="436E9498">
        <w:rPr>
          <w:sz w:val="24"/>
          <w:szCs w:val="24"/>
        </w:rPr>
        <w:t xml:space="preserve"> </w:t>
      </w:r>
      <w:r w:rsidRPr="436E9498">
        <w:rPr>
          <w:sz w:val="24"/>
          <w:szCs w:val="24"/>
        </w:rPr>
        <w:t>SJ</w:t>
      </w:r>
      <w:r w:rsidR="483CDAF1" w:rsidRPr="436E9498">
        <w:rPr>
          <w:sz w:val="24"/>
          <w:szCs w:val="24"/>
        </w:rPr>
        <w:t>R</w:t>
      </w:r>
      <w:r w:rsidRPr="436E9498">
        <w:rPr>
          <w:sz w:val="24"/>
          <w:szCs w:val="24"/>
        </w:rPr>
        <w:t>s w</w:t>
      </w:r>
      <w:r w:rsidR="7DB682F5" w:rsidRPr="436E9498">
        <w:rPr>
          <w:sz w:val="24"/>
          <w:szCs w:val="24"/>
        </w:rPr>
        <w:t>here concerns have been raised by family members, communication</w:t>
      </w:r>
      <w:r w:rsidR="3CFF9506" w:rsidRPr="436E9498">
        <w:rPr>
          <w:sz w:val="24"/>
          <w:szCs w:val="24"/>
        </w:rPr>
        <w:t xml:space="preserve">, either between teams or with the family, </w:t>
      </w:r>
      <w:r w:rsidR="7DB682F5" w:rsidRPr="436E9498">
        <w:rPr>
          <w:sz w:val="24"/>
          <w:szCs w:val="24"/>
        </w:rPr>
        <w:t xml:space="preserve">is </w:t>
      </w:r>
      <w:r w:rsidR="63B9DA6D" w:rsidRPr="436E9498">
        <w:rPr>
          <w:sz w:val="24"/>
          <w:szCs w:val="24"/>
        </w:rPr>
        <w:t xml:space="preserve">the area </w:t>
      </w:r>
      <w:r w:rsidR="7DB682F5" w:rsidRPr="436E9498">
        <w:rPr>
          <w:sz w:val="24"/>
          <w:szCs w:val="24"/>
        </w:rPr>
        <w:t>most frequently highlighted</w:t>
      </w:r>
      <w:r w:rsidR="08FE49B6" w:rsidRPr="436E9498">
        <w:rPr>
          <w:sz w:val="24"/>
          <w:szCs w:val="24"/>
        </w:rPr>
        <w:t xml:space="preserve"> </w:t>
      </w:r>
      <w:r w:rsidR="426C0040" w:rsidRPr="436E9498">
        <w:rPr>
          <w:sz w:val="24"/>
          <w:szCs w:val="24"/>
        </w:rPr>
        <w:t xml:space="preserve">by reviewers </w:t>
      </w:r>
      <w:r w:rsidR="08FE49B6" w:rsidRPr="436E9498">
        <w:rPr>
          <w:sz w:val="24"/>
          <w:szCs w:val="24"/>
        </w:rPr>
        <w:t xml:space="preserve">as </w:t>
      </w:r>
      <w:r w:rsidR="4840246E" w:rsidRPr="436E9498">
        <w:rPr>
          <w:sz w:val="24"/>
          <w:szCs w:val="24"/>
        </w:rPr>
        <w:t xml:space="preserve">requiring improvement. </w:t>
      </w:r>
    </w:p>
    <w:p w14:paraId="1F72F646" w14:textId="181F6D28" w:rsidR="00E7079D" w:rsidRDefault="00E7079D" w:rsidP="436E9498">
      <w:pPr>
        <w:pStyle w:val="BodyA"/>
        <w:widowControl w:val="0"/>
      </w:pPr>
    </w:p>
    <w:p w14:paraId="3ED1DA75" w14:textId="22724C00" w:rsidR="00E7079D" w:rsidRDefault="1A3F582D" w:rsidP="436E9498">
      <w:pPr>
        <w:pStyle w:val="BodyA"/>
        <w:widowControl w:val="0"/>
        <w:spacing w:after="200"/>
        <w:ind w:left="5" w:hanging="5"/>
        <w:rPr>
          <w:color w:val="000000" w:themeColor="text1"/>
          <w:sz w:val="24"/>
          <w:szCs w:val="24"/>
        </w:rPr>
      </w:pPr>
      <w:r>
        <w:rPr>
          <w:sz w:val="24"/>
          <w:szCs w:val="24"/>
        </w:rPr>
        <w:t>A</w:t>
      </w:r>
      <w:r w:rsidR="436E9498">
        <w:rPr>
          <w:sz w:val="24"/>
          <w:szCs w:val="24"/>
        </w:rPr>
        <w:t xml:space="preserve"> key area for development in the Trust’s mortality review framework is gather</w:t>
      </w:r>
      <w:r w:rsidR="5EC6A1A0">
        <w:rPr>
          <w:sz w:val="24"/>
          <w:szCs w:val="24"/>
        </w:rPr>
        <w:t>ing</w:t>
      </w:r>
      <w:r w:rsidR="436E9498">
        <w:rPr>
          <w:sz w:val="24"/>
          <w:szCs w:val="24"/>
        </w:rPr>
        <w:t xml:space="preserve"> and collat</w:t>
      </w:r>
      <w:r w:rsidR="0CADDED2">
        <w:rPr>
          <w:sz w:val="24"/>
          <w:szCs w:val="24"/>
        </w:rPr>
        <w:t>ing</w:t>
      </w:r>
      <w:r w:rsidR="436E9498">
        <w:rPr>
          <w:sz w:val="24"/>
          <w:szCs w:val="24"/>
        </w:rPr>
        <w:t xml:space="preserve"> evidence from this </w:t>
      </w:r>
      <w:r w:rsidR="1225B3A3">
        <w:rPr>
          <w:sz w:val="24"/>
          <w:szCs w:val="24"/>
        </w:rPr>
        <w:t>qualitative</w:t>
      </w:r>
      <w:r w:rsidR="436E9498">
        <w:rPr>
          <w:sz w:val="24"/>
          <w:szCs w:val="24"/>
        </w:rPr>
        <w:t xml:space="preserve"> review work – both within the Medical Examiner’s Office and in each clinical department which hosts M&amp;M meetings and undertakes SJRs – to ensure that key themes are identified, and learning is shared and acted upon. </w:t>
      </w:r>
    </w:p>
    <w:p w14:paraId="36216A02" w14:textId="1068CFFB" w:rsidR="00E7079D" w:rsidRDefault="7AF4618D" w:rsidP="436E9498">
      <w:pPr>
        <w:pStyle w:val="BodyA"/>
        <w:widowControl w:val="0"/>
        <w:spacing w:after="200"/>
        <w:ind w:left="5" w:hanging="5"/>
        <w:rPr>
          <w:color w:val="000000" w:themeColor="text1"/>
          <w:sz w:val="24"/>
          <w:szCs w:val="24"/>
        </w:rPr>
      </w:pPr>
      <w:r>
        <w:rPr>
          <w:sz w:val="24"/>
          <w:szCs w:val="24"/>
        </w:rPr>
        <w:t xml:space="preserve">The web interface </w:t>
      </w:r>
      <w:r w:rsidR="18678736">
        <w:rPr>
          <w:sz w:val="24"/>
          <w:szCs w:val="24"/>
        </w:rPr>
        <w:t>commissioned</w:t>
      </w:r>
      <w:r>
        <w:rPr>
          <w:sz w:val="24"/>
          <w:szCs w:val="24"/>
        </w:rPr>
        <w:t xml:space="preserve"> </w:t>
      </w:r>
      <w:r w:rsidR="382F32A1">
        <w:rPr>
          <w:sz w:val="24"/>
          <w:szCs w:val="24"/>
        </w:rPr>
        <w:t xml:space="preserve">last year </w:t>
      </w:r>
      <w:r>
        <w:rPr>
          <w:sz w:val="24"/>
          <w:szCs w:val="24"/>
        </w:rPr>
        <w:t xml:space="preserve">by the Trust to collate this information and allow </w:t>
      </w:r>
      <w:r w:rsidR="3F053AA8">
        <w:rPr>
          <w:sz w:val="24"/>
          <w:szCs w:val="24"/>
        </w:rPr>
        <w:t xml:space="preserve">near </w:t>
      </w:r>
      <w:r w:rsidR="12D9008C">
        <w:rPr>
          <w:sz w:val="24"/>
          <w:szCs w:val="24"/>
        </w:rPr>
        <w:t>real-time</w:t>
      </w:r>
      <w:r w:rsidR="3F053AA8">
        <w:rPr>
          <w:sz w:val="24"/>
          <w:szCs w:val="24"/>
        </w:rPr>
        <w:t xml:space="preserve"> </w:t>
      </w:r>
      <w:r w:rsidR="71D7958C">
        <w:rPr>
          <w:sz w:val="24"/>
          <w:szCs w:val="24"/>
        </w:rPr>
        <w:t xml:space="preserve">tracking and </w:t>
      </w:r>
      <w:r w:rsidR="3F053AA8">
        <w:rPr>
          <w:sz w:val="24"/>
          <w:szCs w:val="24"/>
        </w:rPr>
        <w:t>review</w:t>
      </w:r>
      <w:r w:rsidR="77B9F9CE">
        <w:rPr>
          <w:sz w:val="24"/>
          <w:szCs w:val="24"/>
        </w:rPr>
        <w:t xml:space="preserve"> has </w:t>
      </w:r>
      <w:r w:rsidR="753DE3D3">
        <w:rPr>
          <w:sz w:val="24"/>
          <w:szCs w:val="24"/>
        </w:rPr>
        <w:t>now</w:t>
      </w:r>
      <w:r w:rsidR="77B9F9CE">
        <w:rPr>
          <w:sz w:val="24"/>
          <w:szCs w:val="24"/>
        </w:rPr>
        <w:t xml:space="preserve"> been completed.</w:t>
      </w:r>
      <w:r w:rsidR="2CE7A460">
        <w:rPr>
          <w:sz w:val="24"/>
          <w:szCs w:val="24"/>
        </w:rPr>
        <w:t xml:space="preserve"> </w:t>
      </w:r>
      <w:r w:rsidR="365EDF00">
        <w:rPr>
          <w:sz w:val="24"/>
          <w:szCs w:val="24"/>
        </w:rPr>
        <w:t>This allow</w:t>
      </w:r>
      <w:r w:rsidR="7B471B42">
        <w:rPr>
          <w:sz w:val="24"/>
          <w:szCs w:val="24"/>
        </w:rPr>
        <w:t>s</w:t>
      </w:r>
      <w:r w:rsidR="365EDF00">
        <w:rPr>
          <w:sz w:val="24"/>
          <w:szCs w:val="24"/>
        </w:rPr>
        <w:t xml:space="preserve"> </w:t>
      </w:r>
      <w:r w:rsidR="0046A058">
        <w:rPr>
          <w:sz w:val="24"/>
          <w:szCs w:val="24"/>
        </w:rPr>
        <w:t xml:space="preserve">the </w:t>
      </w:r>
      <w:r w:rsidR="7A9DAB07">
        <w:rPr>
          <w:sz w:val="24"/>
          <w:szCs w:val="24"/>
        </w:rPr>
        <w:t>a</w:t>
      </w:r>
      <w:r w:rsidR="259987FE">
        <w:rPr>
          <w:sz w:val="24"/>
          <w:szCs w:val="24"/>
        </w:rPr>
        <w:t xml:space="preserve">udit and comparison of SJR </w:t>
      </w:r>
      <w:r w:rsidR="3A3EDE94">
        <w:rPr>
          <w:sz w:val="24"/>
          <w:szCs w:val="24"/>
        </w:rPr>
        <w:t xml:space="preserve">completion and </w:t>
      </w:r>
      <w:r w:rsidR="259987FE">
        <w:rPr>
          <w:sz w:val="24"/>
          <w:szCs w:val="24"/>
        </w:rPr>
        <w:t>outcomes from across the Trust</w:t>
      </w:r>
      <w:r w:rsidR="750395BC">
        <w:rPr>
          <w:sz w:val="24"/>
          <w:szCs w:val="24"/>
        </w:rPr>
        <w:t>, sharing of learning and coordination of quality improvement projects</w:t>
      </w:r>
      <w:r w:rsidR="33E8CAFD">
        <w:rPr>
          <w:sz w:val="24"/>
          <w:szCs w:val="24"/>
        </w:rPr>
        <w:t xml:space="preserve"> as part of the Patient Safety Investigation Response Framework (PSIRF.) </w:t>
      </w:r>
    </w:p>
    <w:p w14:paraId="73FF67F8" w14:textId="6B85B762" w:rsidR="00E7079D" w:rsidRDefault="21BE72D9" w:rsidP="436E9498">
      <w:pPr>
        <w:pStyle w:val="BodyA"/>
        <w:widowControl w:val="0"/>
        <w:spacing w:after="200"/>
        <w:ind w:left="5" w:hanging="5"/>
        <w:rPr>
          <w:color w:val="000000" w:themeColor="text1"/>
          <w:sz w:val="24"/>
          <w:szCs w:val="24"/>
        </w:rPr>
      </w:pPr>
      <w:r>
        <w:rPr>
          <w:sz w:val="24"/>
          <w:szCs w:val="24"/>
        </w:rPr>
        <w:t xml:space="preserve">Divisional </w:t>
      </w:r>
      <w:r w:rsidR="370EF7AA">
        <w:rPr>
          <w:sz w:val="24"/>
          <w:szCs w:val="24"/>
        </w:rPr>
        <w:t xml:space="preserve">patient safety leads </w:t>
      </w:r>
      <w:r>
        <w:rPr>
          <w:sz w:val="24"/>
          <w:szCs w:val="24"/>
        </w:rPr>
        <w:t xml:space="preserve">will provide quarterly updates to MRG </w:t>
      </w:r>
      <w:r w:rsidR="7BA47A37">
        <w:rPr>
          <w:sz w:val="24"/>
          <w:szCs w:val="24"/>
        </w:rPr>
        <w:t xml:space="preserve">on completion and outcomes of SJRs </w:t>
      </w:r>
      <w:r w:rsidR="39F1A0DF">
        <w:rPr>
          <w:sz w:val="24"/>
          <w:szCs w:val="24"/>
        </w:rPr>
        <w:t xml:space="preserve">within their divisions </w:t>
      </w:r>
      <w:r w:rsidR="7BA47A37">
        <w:rPr>
          <w:sz w:val="24"/>
          <w:szCs w:val="24"/>
        </w:rPr>
        <w:t xml:space="preserve">and share key learning </w:t>
      </w:r>
      <w:r w:rsidR="13353B9E">
        <w:rPr>
          <w:sz w:val="24"/>
          <w:szCs w:val="24"/>
        </w:rPr>
        <w:t>from M+M teams across patient safety teams.</w:t>
      </w:r>
    </w:p>
    <w:p w14:paraId="08CE6F91" w14:textId="5C739CCA" w:rsidR="00E7079D" w:rsidRDefault="33E8CAFD" w:rsidP="436E9498">
      <w:pPr>
        <w:pStyle w:val="BodyA"/>
        <w:widowControl w:val="0"/>
        <w:spacing w:after="200"/>
        <w:ind w:left="5" w:hanging="5"/>
        <w:rPr>
          <w:sz w:val="24"/>
          <w:szCs w:val="24"/>
        </w:rPr>
      </w:pPr>
      <w:r>
        <w:rPr>
          <w:sz w:val="24"/>
          <w:szCs w:val="24"/>
        </w:rPr>
        <w:t xml:space="preserve">The next </w:t>
      </w:r>
      <w:r w:rsidR="753362FE">
        <w:rPr>
          <w:sz w:val="24"/>
          <w:szCs w:val="24"/>
        </w:rPr>
        <w:t xml:space="preserve">iteration of this </w:t>
      </w:r>
      <w:r w:rsidR="2DA65EC3">
        <w:rPr>
          <w:sz w:val="24"/>
          <w:szCs w:val="24"/>
        </w:rPr>
        <w:t xml:space="preserve">dashboard, currently in development, will allow the user </w:t>
      </w:r>
      <w:r w:rsidR="5D6D7D2B">
        <w:rPr>
          <w:sz w:val="24"/>
          <w:szCs w:val="24"/>
        </w:rPr>
        <w:t xml:space="preserve">to </w:t>
      </w:r>
      <w:proofErr w:type="spellStart"/>
      <w:r w:rsidR="5D6D7D2B">
        <w:rPr>
          <w:sz w:val="24"/>
          <w:szCs w:val="24"/>
        </w:rPr>
        <w:t>customise</w:t>
      </w:r>
      <w:proofErr w:type="spellEnd"/>
      <w:r w:rsidR="5D6D7D2B">
        <w:rPr>
          <w:sz w:val="24"/>
          <w:szCs w:val="24"/>
        </w:rPr>
        <w:t xml:space="preserve"> searches to whatever query they wish to answer</w:t>
      </w:r>
      <w:r w:rsidR="753362FE">
        <w:rPr>
          <w:sz w:val="24"/>
          <w:szCs w:val="24"/>
        </w:rPr>
        <w:t xml:space="preserve"> </w:t>
      </w:r>
      <w:r w:rsidR="701D0E35">
        <w:rPr>
          <w:sz w:val="24"/>
          <w:szCs w:val="24"/>
        </w:rPr>
        <w:t xml:space="preserve">in response to </w:t>
      </w:r>
      <w:r w:rsidR="25B6532A">
        <w:rPr>
          <w:sz w:val="24"/>
          <w:szCs w:val="24"/>
        </w:rPr>
        <w:t xml:space="preserve">new questions or challenges with mortality data. </w:t>
      </w:r>
    </w:p>
    <w:p w14:paraId="61CDCEAD" w14:textId="77777777" w:rsidR="00E7079D" w:rsidRDefault="00E7079D">
      <w:pPr>
        <w:pStyle w:val="BodyA"/>
        <w:spacing w:after="200" w:line="276" w:lineRule="auto"/>
        <w:jc w:val="both"/>
      </w:pPr>
    </w:p>
    <w:p w14:paraId="0A6959E7" w14:textId="77777777" w:rsidR="00E7079D" w:rsidRDefault="00AB3E57">
      <w:pPr>
        <w:pStyle w:val="BodyA"/>
        <w:spacing w:after="200" w:line="276" w:lineRule="auto"/>
        <w:jc w:val="both"/>
      </w:pPr>
      <w:r>
        <w:t xml:space="preserve"> </w:t>
      </w:r>
    </w:p>
    <w:p w14:paraId="6BB9E253" w14:textId="77777777" w:rsidR="00E7079D" w:rsidRDefault="00AB3E57">
      <w:pPr>
        <w:pStyle w:val="Body"/>
      </w:pPr>
      <w:r>
        <w:rPr>
          <w:rFonts w:ascii="Arial Unicode MS" w:hAnsi="Arial Unicode MS"/>
        </w:rPr>
        <w:br w:type="page"/>
      </w:r>
    </w:p>
    <w:p w14:paraId="5A2DBBC6" w14:textId="77777777" w:rsidR="00E7079D" w:rsidRDefault="00AB3E57">
      <w:pPr>
        <w:pStyle w:val="BodyA"/>
        <w:spacing w:after="200" w:line="276" w:lineRule="auto"/>
        <w:jc w:val="both"/>
        <w:rPr>
          <w:b/>
          <w:bCs/>
          <w:sz w:val="24"/>
          <w:szCs w:val="24"/>
          <w:lang w:val="da-DK"/>
        </w:rPr>
      </w:pPr>
      <w:proofErr w:type="spellStart"/>
      <w:r>
        <w:rPr>
          <w:b/>
          <w:bCs/>
          <w:sz w:val="24"/>
          <w:szCs w:val="24"/>
          <w:lang w:val="da-DK"/>
        </w:rPr>
        <w:lastRenderedPageBreak/>
        <w:t>Appendix</w:t>
      </w:r>
      <w:proofErr w:type="spellEnd"/>
      <w:r>
        <w:rPr>
          <w:b/>
          <w:bCs/>
          <w:sz w:val="24"/>
          <w:szCs w:val="24"/>
          <w:lang w:val="da-DK"/>
        </w:rPr>
        <w:t xml:space="preserve"> 1</w:t>
      </w:r>
    </w:p>
    <w:p w14:paraId="32E1BFAF" w14:textId="77777777" w:rsidR="00E7079D" w:rsidRDefault="00AB3E57">
      <w:pPr>
        <w:pStyle w:val="BodyA"/>
        <w:jc w:val="both"/>
        <w:rPr>
          <w:sz w:val="24"/>
          <w:szCs w:val="24"/>
          <w:lang w:val="fr-FR"/>
        </w:rPr>
      </w:pPr>
      <w:proofErr w:type="spellStart"/>
      <w:r>
        <w:rPr>
          <w:b/>
          <w:bCs/>
          <w:sz w:val="24"/>
          <w:szCs w:val="24"/>
          <w:lang w:val="fr-FR"/>
        </w:rPr>
        <w:t>Definitions</w:t>
      </w:r>
      <w:proofErr w:type="spellEnd"/>
    </w:p>
    <w:p w14:paraId="23DE523C" w14:textId="77777777" w:rsidR="00E7079D" w:rsidRDefault="00E7079D">
      <w:pPr>
        <w:pStyle w:val="BodyA"/>
        <w:jc w:val="both"/>
      </w:pPr>
    </w:p>
    <w:p w14:paraId="0E0A8CF4" w14:textId="77777777" w:rsidR="00E7079D" w:rsidRDefault="00AB3E57">
      <w:pPr>
        <w:pStyle w:val="BodyA"/>
        <w:jc w:val="both"/>
        <w:rPr>
          <w:sz w:val="24"/>
          <w:szCs w:val="24"/>
        </w:rPr>
      </w:pPr>
      <w:r>
        <w:rPr>
          <w:b/>
          <w:bCs/>
          <w:sz w:val="24"/>
          <w:szCs w:val="24"/>
        </w:rPr>
        <w:t xml:space="preserve">Crude Mortality – </w:t>
      </w:r>
      <w:r>
        <w:rPr>
          <w:sz w:val="24"/>
          <w:szCs w:val="24"/>
          <w:lang w:val="pt-PT"/>
        </w:rPr>
        <w:t>A hospital</w:t>
      </w:r>
      <w:r>
        <w:rPr>
          <w:sz w:val="24"/>
          <w:szCs w:val="24"/>
        </w:rPr>
        <w:t xml:space="preserve">’s crude mortality rate looks at the number of deaths that occur in a hospital in </w:t>
      </w:r>
      <w:r>
        <w:rPr>
          <w:sz w:val="24"/>
          <w:szCs w:val="24"/>
        </w:rPr>
        <w:t>any given year and expresses this as a proportion of the number of people admitted for care in that hospital over the same period. The crude mortality rate can then be articulated as the number of deaths for every 100 patients admitted.</w:t>
      </w:r>
    </w:p>
    <w:p w14:paraId="52E56223" w14:textId="77777777" w:rsidR="00E7079D" w:rsidRDefault="00E7079D">
      <w:pPr>
        <w:pStyle w:val="BodyA"/>
        <w:jc w:val="both"/>
        <w:rPr>
          <w:b/>
          <w:bCs/>
          <w:sz w:val="24"/>
          <w:szCs w:val="24"/>
        </w:rPr>
      </w:pPr>
    </w:p>
    <w:p w14:paraId="42F9E4AB" w14:textId="77777777" w:rsidR="00E7079D" w:rsidRDefault="00AB3E57">
      <w:pPr>
        <w:pStyle w:val="BodyA"/>
        <w:jc w:val="both"/>
        <w:rPr>
          <w:b/>
          <w:bCs/>
          <w:sz w:val="24"/>
          <w:szCs w:val="24"/>
        </w:rPr>
      </w:pPr>
      <w:r>
        <w:rPr>
          <w:b/>
          <w:bCs/>
          <w:sz w:val="24"/>
          <w:szCs w:val="24"/>
        </w:rPr>
        <w:t>Finished Consultant Episode (FCE)</w:t>
      </w:r>
      <w:r>
        <w:rPr>
          <w:sz w:val="24"/>
          <w:szCs w:val="24"/>
        </w:rPr>
        <w:t xml:space="preserve"> </w:t>
      </w:r>
      <w:r>
        <w:rPr>
          <w:b/>
          <w:bCs/>
          <w:sz w:val="24"/>
          <w:szCs w:val="24"/>
        </w:rPr>
        <w:t>–</w:t>
      </w:r>
      <w:r>
        <w:rPr>
          <w:color w:val="111111"/>
          <w:sz w:val="24"/>
          <w:szCs w:val="24"/>
          <w:u w:color="111111"/>
        </w:rPr>
        <w:t> A continuous period of admitted patient care under one consultant within one healthcare provider</w:t>
      </w:r>
      <w:r>
        <w:rPr>
          <w:b/>
          <w:bCs/>
          <w:color w:val="111111"/>
          <w:sz w:val="24"/>
          <w:szCs w:val="24"/>
          <w:u w:color="111111"/>
        </w:rPr>
        <w:t>.</w:t>
      </w:r>
    </w:p>
    <w:p w14:paraId="07547A01" w14:textId="77777777" w:rsidR="00E7079D" w:rsidRDefault="00E7079D">
      <w:pPr>
        <w:pStyle w:val="BodyA"/>
        <w:jc w:val="both"/>
      </w:pPr>
    </w:p>
    <w:p w14:paraId="4FA7F323" w14:textId="77777777" w:rsidR="00E7079D" w:rsidRDefault="00AB3E57">
      <w:pPr>
        <w:pStyle w:val="BodyA"/>
        <w:jc w:val="both"/>
        <w:rPr>
          <w:sz w:val="24"/>
          <w:szCs w:val="24"/>
        </w:rPr>
      </w:pPr>
      <w:r>
        <w:rPr>
          <w:b/>
          <w:bCs/>
          <w:sz w:val="24"/>
          <w:szCs w:val="24"/>
          <w:lang w:val="de-DE"/>
        </w:rPr>
        <w:t xml:space="preserve">HSMR </w:t>
      </w:r>
      <w:r>
        <w:rPr>
          <w:b/>
          <w:bCs/>
          <w:sz w:val="24"/>
          <w:szCs w:val="24"/>
        </w:rPr>
        <w:t xml:space="preserve">– </w:t>
      </w:r>
      <w:r>
        <w:rPr>
          <w:sz w:val="24"/>
          <w:szCs w:val="24"/>
        </w:rPr>
        <w:t xml:space="preserve">Hospital Standardised Mortality Rate (HSMR).  This measure only includes deaths within hospital for a restricted group of 56 diagnostic categories with high numbers of admissions nationally. It takes no account of the death of patients discharged to hospice care or to die at home.  The HSMR algorithm involves adjustments being made to crude mortality rates to </w:t>
      </w:r>
      <w:proofErr w:type="spellStart"/>
      <w:r>
        <w:rPr>
          <w:sz w:val="24"/>
          <w:szCs w:val="24"/>
        </w:rPr>
        <w:t>recognise</w:t>
      </w:r>
      <w:proofErr w:type="spellEnd"/>
      <w:r>
        <w:rPr>
          <w:sz w:val="24"/>
          <w:szCs w:val="24"/>
        </w:rPr>
        <w:t xml:space="preserve"> different levels of comorbidity and ill-health for patients cared by similar hospitals. HSMR was created by Dr Foster (now Telstra Health). </w:t>
      </w:r>
    </w:p>
    <w:p w14:paraId="5043CB0F" w14:textId="77777777" w:rsidR="00E7079D" w:rsidRDefault="00E7079D">
      <w:pPr>
        <w:pStyle w:val="BodyA"/>
        <w:jc w:val="both"/>
      </w:pPr>
    </w:p>
    <w:p w14:paraId="042BFB22" w14:textId="77777777" w:rsidR="00E7079D" w:rsidRDefault="00AB3E57">
      <w:pPr>
        <w:pStyle w:val="BodyA"/>
        <w:jc w:val="both"/>
        <w:rPr>
          <w:sz w:val="24"/>
          <w:szCs w:val="24"/>
          <w:lang w:val="it-IT"/>
        </w:rPr>
      </w:pPr>
      <w:proofErr w:type="spellStart"/>
      <w:r>
        <w:rPr>
          <w:b/>
          <w:bCs/>
          <w:sz w:val="24"/>
          <w:szCs w:val="24"/>
          <w:lang w:val="it-IT"/>
        </w:rPr>
        <w:t>MBRRACE</w:t>
      </w:r>
      <w:proofErr w:type="spellEnd"/>
      <w:r>
        <w:rPr>
          <w:b/>
          <w:bCs/>
          <w:sz w:val="24"/>
          <w:szCs w:val="24"/>
          <w:lang w:val="it-IT"/>
        </w:rPr>
        <w:t xml:space="preserve"> – </w:t>
      </w:r>
      <w:proofErr w:type="spellStart"/>
      <w:r>
        <w:rPr>
          <w:sz w:val="24"/>
          <w:szCs w:val="24"/>
          <w:lang w:val="it-IT"/>
        </w:rPr>
        <w:t>Mothers</w:t>
      </w:r>
      <w:proofErr w:type="spellEnd"/>
      <w:r>
        <w:rPr>
          <w:sz w:val="24"/>
          <w:szCs w:val="24"/>
          <w:lang w:val="it-IT"/>
        </w:rPr>
        <w:t xml:space="preserve"> and </w:t>
      </w:r>
      <w:proofErr w:type="spellStart"/>
      <w:r>
        <w:rPr>
          <w:sz w:val="24"/>
          <w:szCs w:val="24"/>
          <w:lang w:val="it-IT"/>
        </w:rPr>
        <w:t>Babies</w:t>
      </w:r>
      <w:proofErr w:type="spellEnd"/>
      <w:r>
        <w:rPr>
          <w:sz w:val="24"/>
          <w:szCs w:val="24"/>
          <w:lang w:val="it-IT"/>
        </w:rPr>
        <w:t xml:space="preserve">, </w:t>
      </w:r>
      <w:proofErr w:type="spellStart"/>
      <w:r>
        <w:rPr>
          <w:sz w:val="24"/>
          <w:szCs w:val="24"/>
          <w:lang w:val="it-IT"/>
        </w:rPr>
        <w:t>Reducing</w:t>
      </w:r>
      <w:proofErr w:type="spellEnd"/>
      <w:r>
        <w:rPr>
          <w:sz w:val="24"/>
          <w:szCs w:val="24"/>
          <w:lang w:val="it-IT"/>
        </w:rPr>
        <w:t xml:space="preserve"> </w:t>
      </w:r>
      <w:proofErr w:type="spellStart"/>
      <w:r>
        <w:rPr>
          <w:sz w:val="24"/>
          <w:szCs w:val="24"/>
          <w:lang w:val="it-IT"/>
        </w:rPr>
        <w:t>Risk</w:t>
      </w:r>
      <w:proofErr w:type="spellEnd"/>
      <w:r>
        <w:rPr>
          <w:sz w:val="24"/>
          <w:szCs w:val="24"/>
          <w:lang w:val="it-IT"/>
        </w:rPr>
        <w:t xml:space="preserve"> </w:t>
      </w:r>
      <w:proofErr w:type="spellStart"/>
      <w:r>
        <w:rPr>
          <w:sz w:val="24"/>
          <w:szCs w:val="24"/>
          <w:lang w:val="it-IT"/>
        </w:rPr>
        <w:t>through</w:t>
      </w:r>
      <w:proofErr w:type="spellEnd"/>
      <w:r>
        <w:rPr>
          <w:sz w:val="24"/>
          <w:szCs w:val="24"/>
          <w:lang w:val="it-IT"/>
        </w:rPr>
        <w:t xml:space="preserve"> </w:t>
      </w:r>
      <w:proofErr w:type="spellStart"/>
      <w:r>
        <w:rPr>
          <w:sz w:val="24"/>
          <w:szCs w:val="24"/>
          <w:lang w:val="it-IT"/>
        </w:rPr>
        <w:t>Audits</w:t>
      </w:r>
      <w:proofErr w:type="spellEnd"/>
      <w:r>
        <w:rPr>
          <w:sz w:val="24"/>
          <w:szCs w:val="24"/>
          <w:lang w:val="it-IT"/>
        </w:rPr>
        <w:t xml:space="preserve"> and </w:t>
      </w:r>
      <w:proofErr w:type="spellStart"/>
      <w:r>
        <w:rPr>
          <w:sz w:val="24"/>
          <w:szCs w:val="24"/>
          <w:lang w:val="it-IT"/>
        </w:rPr>
        <w:t>Confidential</w:t>
      </w:r>
      <w:proofErr w:type="spellEnd"/>
      <w:r>
        <w:rPr>
          <w:sz w:val="24"/>
          <w:szCs w:val="24"/>
          <w:lang w:val="it-IT"/>
        </w:rPr>
        <w:t xml:space="preserve"> </w:t>
      </w:r>
      <w:proofErr w:type="spellStart"/>
      <w:r>
        <w:rPr>
          <w:sz w:val="24"/>
          <w:szCs w:val="24"/>
          <w:lang w:val="it-IT"/>
        </w:rPr>
        <w:t>Enquiries</w:t>
      </w:r>
      <w:proofErr w:type="spellEnd"/>
      <w:r>
        <w:rPr>
          <w:sz w:val="24"/>
          <w:szCs w:val="24"/>
          <w:lang w:val="it-IT"/>
        </w:rPr>
        <w:t xml:space="preserve">. A national </w:t>
      </w:r>
      <w:proofErr w:type="spellStart"/>
      <w:r>
        <w:rPr>
          <w:sz w:val="24"/>
          <w:szCs w:val="24"/>
          <w:lang w:val="it-IT"/>
        </w:rPr>
        <w:t>confidential</w:t>
      </w:r>
      <w:proofErr w:type="spellEnd"/>
      <w:r>
        <w:rPr>
          <w:sz w:val="24"/>
          <w:szCs w:val="24"/>
          <w:lang w:val="it-IT"/>
        </w:rPr>
        <w:t xml:space="preserve"> </w:t>
      </w:r>
      <w:proofErr w:type="spellStart"/>
      <w:r>
        <w:rPr>
          <w:sz w:val="24"/>
          <w:szCs w:val="24"/>
          <w:lang w:val="it-IT"/>
        </w:rPr>
        <w:t>enquiry</w:t>
      </w:r>
      <w:proofErr w:type="spellEnd"/>
      <w:r>
        <w:rPr>
          <w:sz w:val="24"/>
          <w:szCs w:val="24"/>
          <w:lang w:val="it-IT"/>
        </w:rPr>
        <w:t xml:space="preserve"> </w:t>
      </w:r>
      <w:proofErr w:type="spellStart"/>
      <w:r>
        <w:rPr>
          <w:sz w:val="24"/>
          <w:szCs w:val="24"/>
          <w:lang w:val="it-IT"/>
        </w:rPr>
        <w:t>collecting</w:t>
      </w:r>
      <w:proofErr w:type="spellEnd"/>
      <w:r>
        <w:rPr>
          <w:sz w:val="24"/>
          <w:szCs w:val="24"/>
          <w:lang w:val="it-IT"/>
        </w:rPr>
        <w:t xml:space="preserve"> data on </w:t>
      </w:r>
      <w:proofErr w:type="spellStart"/>
      <w:r>
        <w:rPr>
          <w:sz w:val="24"/>
          <w:szCs w:val="24"/>
          <w:lang w:val="it-IT"/>
        </w:rPr>
        <w:t>deaths</w:t>
      </w:r>
      <w:proofErr w:type="spellEnd"/>
      <w:r>
        <w:rPr>
          <w:sz w:val="24"/>
          <w:szCs w:val="24"/>
          <w:lang w:val="it-IT"/>
        </w:rPr>
        <w:t xml:space="preserve"> in </w:t>
      </w:r>
      <w:proofErr w:type="spellStart"/>
      <w:r>
        <w:rPr>
          <w:sz w:val="24"/>
          <w:szCs w:val="24"/>
          <w:lang w:val="it-IT"/>
        </w:rPr>
        <w:t>pregnant</w:t>
      </w:r>
      <w:proofErr w:type="spellEnd"/>
      <w:r>
        <w:rPr>
          <w:sz w:val="24"/>
          <w:szCs w:val="24"/>
          <w:lang w:val="it-IT"/>
        </w:rPr>
        <w:t xml:space="preserve"> </w:t>
      </w:r>
      <w:proofErr w:type="spellStart"/>
      <w:r>
        <w:rPr>
          <w:sz w:val="24"/>
          <w:szCs w:val="24"/>
          <w:lang w:val="it-IT"/>
        </w:rPr>
        <w:t>women</w:t>
      </w:r>
      <w:proofErr w:type="spellEnd"/>
      <w:r>
        <w:rPr>
          <w:sz w:val="24"/>
          <w:szCs w:val="24"/>
          <w:lang w:val="it-IT"/>
        </w:rPr>
        <w:t xml:space="preserve"> (up to one </w:t>
      </w:r>
      <w:proofErr w:type="spellStart"/>
      <w:r>
        <w:rPr>
          <w:sz w:val="24"/>
          <w:szCs w:val="24"/>
          <w:lang w:val="it-IT"/>
        </w:rPr>
        <w:t>year</w:t>
      </w:r>
      <w:proofErr w:type="spellEnd"/>
      <w:r>
        <w:rPr>
          <w:sz w:val="24"/>
          <w:szCs w:val="24"/>
          <w:lang w:val="it-IT"/>
        </w:rPr>
        <w:t xml:space="preserve"> </w:t>
      </w:r>
      <w:proofErr w:type="spellStart"/>
      <w:r>
        <w:rPr>
          <w:sz w:val="24"/>
          <w:szCs w:val="24"/>
          <w:lang w:val="it-IT"/>
        </w:rPr>
        <w:t>post-partum</w:t>
      </w:r>
      <w:proofErr w:type="spellEnd"/>
      <w:r>
        <w:rPr>
          <w:sz w:val="24"/>
          <w:szCs w:val="24"/>
          <w:lang w:val="it-IT"/>
        </w:rPr>
        <w:t xml:space="preserve">) and </w:t>
      </w:r>
      <w:proofErr w:type="spellStart"/>
      <w:r>
        <w:rPr>
          <w:sz w:val="24"/>
          <w:szCs w:val="24"/>
          <w:lang w:val="it-IT"/>
        </w:rPr>
        <w:t>perinatal</w:t>
      </w:r>
      <w:proofErr w:type="spellEnd"/>
      <w:r>
        <w:rPr>
          <w:sz w:val="24"/>
          <w:szCs w:val="24"/>
          <w:lang w:val="it-IT"/>
        </w:rPr>
        <w:t xml:space="preserve"> </w:t>
      </w:r>
      <w:proofErr w:type="spellStart"/>
      <w:r>
        <w:rPr>
          <w:sz w:val="24"/>
          <w:szCs w:val="24"/>
          <w:lang w:val="it-IT"/>
        </w:rPr>
        <w:t>deaths</w:t>
      </w:r>
      <w:proofErr w:type="spellEnd"/>
      <w:r>
        <w:rPr>
          <w:sz w:val="24"/>
          <w:szCs w:val="24"/>
          <w:lang w:val="it-IT"/>
        </w:rPr>
        <w:t xml:space="preserve"> from 22 </w:t>
      </w:r>
      <w:proofErr w:type="spellStart"/>
      <w:r>
        <w:rPr>
          <w:sz w:val="24"/>
          <w:szCs w:val="24"/>
          <w:lang w:val="it-IT"/>
        </w:rPr>
        <w:t>weeks</w:t>
      </w:r>
      <w:proofErr w:type="spellEnd"/>
      <w:r>
        <w:rPr>
          <w:sz w:val="24"/>
          <w:szCs w:val="24"/>
          <w:lang w:val="it-IT"/>
        </w:rPr>
        <w:t xml:space="preserve"> </w:t>
      </w:r>
      <w:proofErr w:type="spellStart"/>
      <w:r>
        <w:rPr>
          <w:sz w:val="24"/>
          <w:szCs w:val="24"/>
          <w:lang w:val="it-IT"/>
        </w:rPr>
        <w:t>gestation</w:t>
      </w:r>
      <w:proofErr w:type="spellEnd"/>
      <w:r>
        <w:rPr>
          <w:sz w:val="24"/>
          <w:szCs w:val="24"/>
          <w:lang w:val="it-IT"/>
        </w:rPr>
        <w:t xml:space="preserve"> up to 28 </w:t>
      </w:r>
      <w:proofErr w:type="spellStart"/>
      <w:r>
        <w:rPr>
          <w:sz w:val="24"/>
          <w:szCs w:val="24"/>
          <w:lang w:val="it-IT"/>
        </w:rPr>
        <w:t>days</w:t>
      </w:r>
      <w:proofErr w:type="spellEnd"/>
      <w:r>
        <w:rPr>
          <w:sz w:val="24"/>
          <w:szCs w:val="24"/>
          <w:lang w:val="it-IT"/>
        </w:rPr>
        <w:t xml:space="preserve"> post delivery.</w:t>
      </w:r>
    </w:p>
    <w:p w14:paraId="07459315" w14:textId="77777777" w:rsidR="00E7079D" w:rsidRDefault="00E7079D">
      <w:pPr>
        <w:pStyle w:val="BodyA"/>
        <w:jc w:val="both"/>
      </w:pPr>
    </w:p>
    <w:p w14:paraId="2AB83585" w14:textId="77777777" w:rsidR="00E7079D" w:rsidRDefault="00AB3E57">
      <w:pPr>
        <w:pStyle w:val="BodyA"/>
        <w:jc w:val="both"/>
        <w:rPr>
          <w:sz w:val="24"/>
          <w:szCs w:val="24"/>
        </w:rPr>
      </w:pPr>
      <w:r>
        <w:rPr>
          <w:b/>
          <w:bCs/>
          <w:sz w:val="24"/>
          <w:szCs w:val="24"/>
        </w:rPr>
        <w:t>Relative Risk</w:t>
      </w:r>
      <w:r>
        <w:rPr>
          <w:sz w:val="24"/>
          <w:szCs w:val="24"/>
        </w:rPr>
        <w:t xml:space="preserve"> – Measures the actual (observed) number of deaths against the expected number deaths. Both the SHMI and the HSMR use the ratio of actual deaths to an expected number of deaths as their statistic. HSMR multiplies the Relative Risk by 100. SHMI is typically presented around a mean expressed as 1.00. </w:t>
      </w:r>
    </w:p>
    <w:p w14:paraId="6537F28F" w14:textId="77777777" w:rsidR="00E7079D" w:rsidRDefault="00E7079D">
      <w:pPr>
        <w:pStyle w:val="BodyA"/>
        <w:jc w:val="both"/>
        <w:rPr>
          <w:sz w:val="24"/>
          <w:szCs w:val="24"/>
        </w:rPr>
      </w:pPr>
    </w:p>
    <w:p w14:paraId="04718ABE" w14:textId="77777777" w:rsidR="00E7079D" w:rsidRDefault="00AB3E57">
      <w:pPr>
        <w:pStyle w:val="ListParagraph"/>
        <w:numPr>
          <w:ilvl w:val="0"/>
          <w:numId w:val="10"/>
        </w:numPr>
        <w:jc w:val="both"/>
        <w:rPr>
          <w:sz w:val="24"/>
          <w:szCs w:val="24"/>
        </w:rPr>
      </w:pPr>
      <w:r>
        <w:rPr>
          <w:sz w:val="24"/>
          <w:szCs w:val="24"/>
        </w:rPr>
        <w:t xml:space="preserve"> HSMR above 100 / SHMI above 1.00 </w:t>
      </w:r>
      <w:r>
        <w:rPr>
          <w:sz w:val="24"/>
          <w:szCs w:val="24"/>
        </w:rPr>
        <w:tab/>
        <w:t>= There are numerically more deaths than expected</w:t>
      </w:r>
    </w:p>
    <w:p w14:paraId="36586326" w14:textId="77777777" w:rsidR="00E7079D" w:rsidRDefault="00AB3E57">
      <w:pPr>
        <w:pStyle w:val="ListParagraph"/>
        <w:numPr>
          <w:ilvl w:val="0"/>
          <w:numId w:val="10"/>
        </w:numPr>
        <w:jc w:val="both"/>
        <w:rPr>
          <w:sz w:val="24"/>
          <w:szCs w:val="24"/>
        </w:rPr>
      </w:pPr>
      <w:r>
        <w:rPr>
          <w:sz w:val="24"/>
          <w:szCs w:val="24"/>
        </w:rPr>
        <w:t xml:space="preserve"> HSMR below 100 / SHMI below 1.00 </w:t>
      </w:r>
      <w:r>
        <w:rPr>
          <w:sz w:val="24"/>
          <w:szCs w:val="24"/>
        </w:rPr>
        <w:tab/>
        <w:t>= There are numerically less deaths than expected</w:t>
      </w:r>
    </w:p>
    <w:p w14:paraId="6DFB9E20" w14:textId="77777777" w:rsidR="00E7079D" w:rsidRDefault="00E7079D">
      <w:pPr>
        <w:pStyle w:val="Body"/>
        <w:jc w:val="both"/>
      </w:pPr>
    </w:p>
    <w:p w14:paraId="41BD056A" w14:textId="77777777" w:rsidR="00E7079D" w:rsidRDefault="00AB3E57">
      <w:pPr>
        <w:pStyle w:val="Body"/>
        <w:jc w:val="both"/>
        <w:rPr>
          <w:rFonts w:ascii="Arial" w:eastAsia="Arial" w:hAnsi="Arial" w:cs="Arial"/>
        </w:rPr>
      </w:pPr>
      <w:r>
        <w:rPr>
          <w:rFonts w:ascii="Arial" w:hAnsi="Arial"/>
        </w:rPr>
        <w:t xml:space="preserve">Confidence intervals are then described suggesting the likelihood that any variation between observed and expected has occurred through chance alone or represents a </w:t>
      </w:r>
      <w:r>
        <w:rPr>
          <w:rFonts w:ascii="Arial" w:hAnsi="Arial"/>
        </w:rPr>
        <w:t>‘</w:t>
      </w:r>
      <w:r>
        <w:rPr>
          <w:rFonts w:ascii="Arial" w:hAnsi="Arial"/>
        </w:rPr>
        <w:t>statistically significant</w:t>
      </w:r>
      <w:r>
        <w:rPr>
          <w:rFonts w:ascii="Arial" w:hAnsi="Arial"/>
        </w:rPr>
        <w:t xml:space="preserve">’ </w:t>
      </w:r>
      <w:r>
        <w:rPr>
          <w:rFonts w:ascii="Arial" w:hAnsi="Arial"/>
        </w:rPr>
        <w:t xml:space="preserve">variation (real, not due to chance).  </w:t>
      </w:r>
    </w:p>
    <w:p w14:paraId="70DF9E56" w14:textId="77777777" w:rsidR="00E7079D" w:rsidRDefault="00E7079D">
      <w:pPr>
        <w:pStyle w:val="BodyA"/>
        <w:jc w:val="both"/>
        <w:rPr>
          <w:sz w:val="24"/>
          <w:szCs w:val="24"/>
        </w:rPr>
      </w:pPr>
    </w:p>
    <w:p w14:paraId="747FF1FC" w14:textId="77777777" w:rsidR="00E7079D" w:rsidRDefault="00AB3E57">
      <w:pPr>
        <w:pStyle w:val="NormalWeb"/>
        <w:spacing w:before="0" w:after="0"/>
        <w:jc w:val="both"/>
        <w:rPr>
          <w:rFonts w:ascii="Arial" w:eastAsia="Arial" w:hAnsi="Arial" w:cs="Arial"/>
        </w:rPr>
      </w:pPr>
      <w:r>
        <w:rPr>
          <w:rFonts w:ascii="Arial" w:hAnsi="Arial"/>
          <w:b/>
          <w:bCs/>
        </w:rPr>
        <w:t xml:space="preserve">Structured Judgement Review (SJR) </w:t>
      </w:r>
      <w:r>
        <w:rPr>
          <w:rFonts w:ascii="Arial" w:hAnsi="Arial"/>
        </w:rPr>
        <w:t>–</w:t>
      </w:r>
      <w:r>
        <w:rPr>
          <w:rFonts w:ascii="Arial" w:hAnsi="Arial"/>
          <w:b/>
          <w:bCs/>
        </w:rPr>
        <w:t xml:space="preserve"> </w:t>
      </w:r>
      <w:r>
        <w:rPr>
          <w:rFonts w:ascii="Arial" w:hAnsi="Arial"/>
        </w:rPr>
        <w:t>A report created according to a standard template, reviewing the care given to a deceased patient which generates a score for the quality of care given.</w:t>
      </w:r>
    </w:p>
    <w:p w14:paraId="44E871BC" w14:textId="77777777" w:rsidR="00E7079D" w:rsidRDefault="00E7079D">
      <w:pPr>
        <w:pStyle w:val="NormalWeb"/>
        <w:spacing w:before="0" w:after="0"/>
        <w:jc w:val="both"/>
        <w:rPr>
          <w:rFonts w:ascii="Arial" w:eastAsia="Arial" w:hAnsi="Arial" w:cs="Arial"/>
          <w:b/>
          <w:bCs/>
        </w:rPr>
      </w:pPr>
    </w:p>
    <w:p w14:paraId="0D6DD2D7" w14:textId="77777777" w:rsidR="00E7079D" w:rsidRDefault="00AB3E57">
      <w:pPr>
        <w:pStyle w:val="NormalWeb"/>
        <w:spacing w:before="0" w:after="0"/>
        <w:jc w:val="both"/>
        <w:rPr>
          <w:rFonts w:ascii="Arial" w:eastAsia="Arial" w:hAnsi="Arial" w:cs="Arial"/>
        </w:rPr>
      </w:pPr>
      <w:r>
        <w:rPr>
          <w:rFonts w:ascii="Arial" w:hAnsi="Arial"/>
          <w:b/>
          <w:bCs/>
        </w:rPr>
        <w:t xml:space="preserve">SHMI </w:t>
      </w:r>
      <w:r>
        <w:rPr>
          <w:rFonts w:ascii="Arial" w:hAnsi="Arial"/>
        </w:rPr>
        <w:t xml:space="preserve">– </w:t>
      </w:r>
      <w:r>
        <w:rPr>
          <w:rFonts w:ascii="Arial" w:hAnsi="Arial"/>
        </w:rPr>
        <w:t>Summary Hospital-level Mortality Indicator (SHMI).  SHMI indicates the ratio between the actual number of patients who die following treatment at the Trust and the number that would be expected to die based on average England figures, given the characteristics of the patients treated.  It includes deaths which occur in hospital and deaths which occur outside of hospital within 30 days (inclusive) of discharge.</w:t>
      </w:r>
    </w:p>
    <w:p w14:paraId="144A5D23" w14:textId="77777777" w:rsidR="00E7079D" w:rsidRDefault="00E7079D">
      <w:pPr>
        <w:pStyle w:val="BodyA"/>
        <w:jc w:val="both"/>
        <w:rPr>
          <w:sz w:val="24"/>
          <w:szCs w:val="24"/>
        </w:rPr>
      </w:pPr>
    </w:p>
    <w:p w14:paraId="6066A133" w14:textId="18E226A6" w:rsidR="00E7079D" w:rsidRDefault="436E9498">
      <w:pPr>
        <w:pStyle w:val="BodyA"/>
        <w:jc w:val="both"/>
        <w:rPr>
          <w:sz w:val="24"/>
          <w:szCs w:val="24"/>
        </w:rPr>
      </w:pPr>
      <w:r w:rsidRPr="436E9498">
        <w:rPr>
          <w:b/>
          <w:bCs/>
          <w:sz w:val="24"/>
          <w:szCs w:val="24"/>
        </w:rPr>
        <w:t>CHKS</w:t>
      </w:r>
      <w:r w:rsidRPr="436E9498">
        <w:rPr>
          <w:sz w:val="24"/>
          <w:szCs w:val="24"/>
        </w:rPr>
        <w:t>. Third-party tools are used to report the relative position of Milton Keynes University Hospital NHS Foundation Trust (MKUH) on nationally published mortality statistics</w:t>
      </w:r>
      <w:r w:rsidR="6D491EE5" w:rsidRPr="436E9498">
        <w:rPr>
          <w:sz w:val="24"/>
          <w:szCs w:val="24"/>
        </w:rPr>
        <w:t xml:space="preserve">. </w:t>
      </w:r>
      <w:r w:rsidRPr="436E9498">
        <w:rPr>
          <w:sz w:val="24"/>
          <w:szCs w:val="24"/>
        </w:rPr>
        <w:t>CHKS produces monthly mortality reports for MKUH based on its Hospital Episode Statistics (HES) data submissions.</w:t>
      </w:r>
    </w:p>
    <w:p w14:paraId="738610EB" w14:textId="77777777" w:rsidR="00E7079D" w:rsidRDefault="00E7079D">
      <w:pPr>
        <w:pStyle w:val="BodyA"/>
        <w:jc w:val="both"/>
        <w:rPr>
          <w:sz w:val="24"/>
          <w:szCs w:val="24"/>
        </w:rPr>
      </w:pPr>
    </w:p>
    <w:p w14:paraId="637805D2" w14:textId="77777777" w:rsidR="00E7079D" w:rsidRDefault="00AB3E57">
      <w:pPr>
        <w:pStyle w:val="Body"/>
      </w:pPr>
      <w:r>
        <w:rPr>
          <w:rFonts w:ascii="Arial Unicode MS" w:hAnsi="Arial Unicode MS"/>
        </w:rPr>
        <w:br w:type="page"/>
      </w:r>
    </w:p>
    <w:p w14:paraId="51ED009D" w14:textId="77777777" w:rsidR="00E7079D" w:rsidRDefault="436E9498">
      <w:pPr>
        <w:pStyle w:val="BodyA"/>
        <w:spacing w:after="200" w:line="276" w:lineRule="auto"/>
        <w:jc w:val="both"/>
        <w:rPr>
          <w:b/>
          <w:bCs/>
          <w:sz w:val="24"/>
          <w:szCs w:val="24"/>
        </w:rPr>
      </w:pPr>
      <w:r>
        <w:rPr>
          <w:b/>
          <w:bCs/>
          <w:sz w:val="24"/>
          <w:szCs w:val="24"/>
        </w:rPr>
        <w:lastRenderedPageBreak/>
        <w:t>Appendix 2a</w:t>
      </w:r>
    </w:p>
    <w:p w14:paraId="4719A4F2" w14:textId="12B19A5C" w:rsidR="436E9498" w:rsidRDefault="436E9498" w:rsidP="436E9498">
      <w:pPr>
        <w:pStyle w:val="BodyA"/>
      </w:pPr>
    </w:p>
    <w:p w14:paraId="1EF5FDBC" w14:textId="77777777" w:rsidR="00E7079D" w:rsidRDefault="436E9498">
      <w:pPr>
        <w:pStyle w:val="BodyA"/>
        <w:spacing w:after="200" w:line="276" w:lineRule="auto"/>
        <w:jc w:val="both"/>
        <w:rPr>
          <w:b/>
          <w:bCs/>
        </w:rPr>
      </w:pPr>
      <w:r>
        <w:rPr>
          <w:b/>
          <w:bCs/>
          <w:sz w:val="24"/>
          <w:szCs w:val="24"/>
        </w:rPr>
        <w:t>Summary Mortality Data</w:t>
      </w:r>
    </w:p>
    <w:tbl>
      <w:tblPr>
        <w:tblW w:w="0" w:type="auto"/>
        <w:tblLayout w:type="fixed"/>
        <w:tblLook w:val="06A0" w:firstRow="1" w:lastRow="0" w:firstColumn="1" w:lastColumn="0" w:noHBand="1" w:noVBand="1"/>
      </w:tblPr>
      <w:tblGrid>
        <w:gridCol w:w="3120"/>
        <w:gridCol w:w="1828"/>
        <w:gridCol w:w="1012"/>
        <w:gridCol w:w="1012"/>
        <w:gridCol w:w="1012"/>
        <w:gridCol w:w="1012"/>
        <w:gridCol w:w="1683"/>
      </w:tblGrid>
      <w:tr w:rsidR="436E9498" w14:paraId="6F55A815" w14:textId="77777777" w:rsidTr="436E9498">
        <w:trPr>
          <w:trHeight w:val="165"/>
        </w:trPr>
        <w:tc>
          <w:tcPr>
            <w:tcW w:w="3120" w:type="dxa"/>
            <w:tcBorders>
              <w:top w:val="single" w:sz="12" w:space="0" w:color="000000" w:themeColor="text1"/>
              <w:left w:val="single" w:sz="12" w:space="0" w:color="000000" w:themeColor="text1"/>
              <w:bottom w:val="single" w:sz="12" w:space="0" w:color="000000" w:themeColor="text1"/>
              <w:right w:val="single" w:sz="6" w:space="0" w:color="000000" w:themeColor="text1"/>
            </w:tcBorders>
            <w:tcMar>
              <w:left w:w="30" w:type="dxa"/>
              <w:bottom w:w="30" w:type="dxa"/>
              <w:right w:w="30" w:type="dxa"/>
            </w:tcMar>
            <w:vAlign w:val="bottom"/>
          </w:tcPr>
          <w:p w14:paraId="6633E3E6" w14:textId="13B0EF1C" w:rsidR="436E9498" w:rsidRDefault="436E9498" w:rsidP="436E9498">
            <w:r w:rsidRPr="436E9498">
              <w:rPr>
                <w:rFonts w:ascii="Calibri" w:eastAsia="Calibri" w:hAnsi="Calibri" w:cs="Calibri"/>
                <w:color w:val="000000" w:themeColor="text1"/>
                <w:sz w:val="16"/>
                <w:szCs w:val="16"/>
              </w:rPr>
              <w:t>Metric</w:t>
            </w:r>
          </w:p>
        </w:tc>
        <w:tc>
          <w:tcPr>
            <w:tcW w:w="1828" w:type="dxa"/>
            <w:tcBorders>
              <w:top w:val="single" w:sz="12" w:space="0" w:color="000000" w:themeColor="text1"/>
              <w:left w:val="single" w:sz="6" w:space="0" w:color="000000" w:themeColor="text1"/>
              <w:bottom w:val="single" w:sz="12" w:space="0" w:color="000000" w:themeColor="text1"/>
              <w:right w:val="single" w:sz="6" w:space="0" w:color="000000" w:themeColor="text1"/>
            </w:tcBorders>
            <w:tcMar>
              <w:left w:w="30" w:type="dxa"/>
              <w:bottom w:w="30" w:type="dxa"/>
              <w:right w:w="30" w:type="dxa"/>
            </w:tcMar>
            <w:vAlign w:val="bottom"/>
          </w:tcPr>
          <w:p w14:paraId="4F7EFD66" w14:textId="5B60B986" w:rsidR="436E9498" w:rsidRDefault="436E9498" w:rsidP="436E9498">
            <w:r w:rsidRPr="436E9498">
              <w:rPr>
                <w:rFonts w:ascii="Calibri" w:eastAsia="Calibri" w:hAnsi="Calibri" w:cs="Calibri"/>
                <w:color w:val="000000" w:themeColor="text1"/>
                <w:sz w:val="16"/>
                <w:szCs w:val="16"/>
              </w:rPr>
              <w:t>Period</w:t>
            </w:r>
          </w:p>
        </w:tc>
        <w:tc>
          <w:tcPr>
            <w:tcW w:w="1012" w:type="dxa"/>
            <w:tcBorders>
              <w:top w:val="single" w:sz="12" w:space="0" w:color="000000" w:themeColor="text1"/>
              <w:left w:val="single" w:sz="6" w:space="0" w:color="000000" w:themeColor="text1"/>
              <w:bottom w:val="single" w:sz="12" w:space="0" w:color="000000" w:themeColor="text1"/>
              <w:right w:val="single" w:sz="6" w:space="0" w:color="000000" w:themeColor="text1"/>
            </w:tcBorders>
            <w:tcMar>
              <w:left w:w="30" w:type="dxa"/>
              <w:bottom w:w="30" w:type="dxa"/>
              <w:right w:w="30" w:type="dxa"/>
            </w:tcMar>
            <w:vAlign w:val="bottom"/>
          </w:tcPr>
          <w:p w14:paraId="5B18324F" w14:textId="13A1CB14" w:rsidR="436E9498" w:rsidRDefault="436E9498" w:rsidP="436E9498">
            <w:pPr>
              <w:jc w:val="right"/>
            </w:pPr>
            <w:r w:rsidRPr="436E9498">
              <w:rPr>
                <w:rFonts w:ascii="Calibri" w:eastAsia="Calibri" w:hAnsi="Calibri" w:cs="Calibri"/>
                <w:b/>
                <w:bCs/>
                <w:color w:val="000000" w:themeColor="text1"/>
                <w:sz w:val="16"/>
                <w:szCs w:val="16"/>
              </w:rPr>
              <w:t>Previous</w:t>
            </w:r>
          </w:p>
        </w:tc>
        <w:tc>
          <w:tcPr>
            <w:tcW w:w="1012" w:type="dxa"/>
            <w:tcBorders>
              <w:top w:val="single" w:sz="12" w:space="0" w:color="000000" w:themeColor="text1"/>
              <w:left w:val="single" w:sz="6" w:space="0" w:color="000000" w:themeColor="text1"/>
              <w:bottom w:val="single" w:sz="12" w:space="0" w:color="000000" w:themeColor="text1"/>
              <w:right w:val="single" w:sz="6" w:space="0" w:color="000000" w:themeColor="text1"/>
            </w:tcBorders>
            <w:tcMar>
              <w:left w:w="30" w:type="dxa"/>
              <w:bottom w:w="30" w:type="dxa"/>
              <w:right w:w="30" w:type="dxa"/>
            </w:tcMar>
            <w:vAlign w:val="bottom"/>
          </w:tcPr>
          <w:p w14:paraId="375060DE" w14:textId="61332600" w:rsidR="436E9498" w:rsidRDefault="436E9498" w:rsidP="436E9498">
            <w:pPr>
              <w:jc w:val="right"/>
            </w:pPr>
            <w:r w:rsidRPr="436E9498">
              <w:rPr>
                <w:rFonts w:ascii="Calibri" w:eastAsia="Calibri" w:hAnsi="Calibri" w:cs="Calibri"/>
                <w:b/>
                <w:bCs/>
                <w:color w:val="000000" w:themeColor="text1"/>
                <w:sz w:val="16"/>
                <w:szCs w:val="16"/>
              </w:rPr>
              <w:t>Latest</w:t>
            </w:r>
          </w:p>
        </w:tc>
        <w:tc>
          <w:tcPr>
            <w:tcW w:w="1012" w:type="dxa"/>
            <w:tcBorders>
              <w:top w:val="single" w:sz="12" w:space="0" w:color="000000" w:themeColor="text1"/>
              <w:left w:val="single" w:sz="6" w:space="0" w:color="000000" w:themeColor="text1"/>
              <w:bottom w:val="single" w:sz="12" w:space="0" w:color="000000" w:themeColor="text1"/>
              <w:right w:val="single" w:sz="6" w:space="0" w:color="000000" w:themeColor="text1"/>
            </w:tcBorders>
            <w:tcMar>
              <w:left w:w="30" w:type="dxa"/>
              <w:bottom w:w="30" w:type="dxa"/>
              <w:right w:w="30" w:type="dxa"/>
            </w:tcMar>
            <w:vAlign w:val="bottom"/>
          </w:tcPr>
          <w:p w14:paraId="7C2E6869" w14:textId="761BFA9C" w:rsidR="436E9498" w:rsidRDefault="436E9498" w:rsidP="436E9498">
            <w:pPr>
              <w:jc w:val="right"/>
            </w:pPr>
            <w:r w:rsidRPr="436E9498">
              <w:rPr>
                <w:rFonts w:ascii="Calibri" w:eastAsia="Calibri" w:hAnsi="Calibri" w:cs="Calibri"/>
                <w:b/>
                <w:bCs/>
                <w:color w:val="000000" w:themeColor="text1"/>
                <w:sz w:val="16"/>
                <w:szCs w:val="16"/>
              </w:rPr>
              <w:t>National Peer</w:t>
            </w:r>
          </w:p>
        </w:tc>
        <w:tc>
          <w:tcPr>
            <w:tcW w:w="1012" w:type="dxa"/>
            <w:tcBorders>
              <w:top w:val="single" w:sz="12" w:space="0" w:color="000000" w:themeColor="text1"/>
              <w:left w:val="single" w:sz="6" w:space="0" w:color="000000" w:themeColor="text1"/>
              <w:bottom w:val="single" w:sz="12" w:space="0" w:color="000000" w:themeColor="text1"/>
              <w:right w:val="single" w:sz="6" w:space="0" w:color="000000" w:themeColor="text1"/>
            </w:tcBorders>
            <w:tcMar>
              <w:left w:w="30" w:type="dxa"/>
              <w:bottom w:w="30" w:type="dxa"/>
              <w:right w:w="30" w:type="dxa"/>
            </w:tcMar>
            <w:vAlign w:val="bottom"/>
          </w:tcPr>
          <w:p w14:paraId="7BD91687" w14:textId="09747D8B" w:rsidR="436E9498" w:rsidRDefault="436E9498" w:rsidP="436E9498">
            <w:pPr>
              <w:jc w:val="right"/>
            </w:pPr>
            <w:r w:rsidRPr="436E9498">
              <w:rPr>
                <w:rFonts w:ascii="Calibri" w:eastAsia="Calibri" w:hAnsi="Calibri" w:cs="Calibri"/>
                <w:b/>
                <w:bCs/>
                <w:color w:val="000000" w:themeColor="text1"/>
                <w:sz w:val="16"/>
                <w:szCs w:val="16"/>
              </w:rPr>
              <w:t>Variance</w:t>
            </w:r>
          </w:p>
        </w:tc>
        <w:tc>
          <w:tcPr>
            <w:tcW w:w="1683" w:type="dxa"/>
            <w:tcBorders>
              <w:top w:val="single" w:sz="12" w:space="0" w:color="000000" w:themeColor="text1"/>
              <w:left w:val="single" w:sz="6" w:space="0" w:color="000000" w:themeColor="text1"/>
              <w:bottom w:val="single" w:sz="6" w:space="0" w:color="000000" w:themeColor="text1"/>
              <w:right w:val="single" w:sz="12" w:space="0" w:color="000000" w:themeColor="text1"/>
            </w:tcBorders>
            <w:shd w:val="clear" w:color="auto" w:fill="FFFFFF" w:themeFill="background1"/>
            <w:tcMar>
              <w:left w:w="30" w:type="dxa"/>
              <w:bottom w:w="30" w:type="dxa"/>
              <w:right w:w="30" w:type="dxa"/>
            </w:tcMar>
            <w:vAlign w:val="center"/>
          </w:tcPr>
          <w:p w14:paraId="4E3FDBF3" w14:textId="5CA43F2E" w:rsidR="436E9498" w:rsidRDefault="436E9498" w:rsidP="436E9498">
            <w:r w:rsidRPr="436E9498">
              <w:rPr>
                <w:rFonts w:ascii="Calibri" w:eastAsia="Calibri" w:hAnsi="Calibri" w:cs="Calibri"/>
                <w:b/>
                <w:bCs/>
                <w:i/>
                <w:iCs/>
                <w:color w:val="000000" w:themeColor="text1"/>
                <w:sz w:val="16"/>
                <w:szCs w:val="16"/>
              </w:rPr>
              <w:t>Status</w:t>
            </w:r>
          </w:p>
        </w:tc>
      </w:tr>
      <w:tr w:rsidR="436E9498" w14:paraId="48DD3ED9" w14:textId="77777777" w:rsidTr="436E9498">
        <w:trPr>
          <w:trHeight w:val="195"/>
        </w:trPr>
        <w:tc>
          <w:tcPr>
            <w:tcW w:w="3120" w:type="dxa"/>
            <w:tcBorders>
              <w:top w:val="single" w:sz="12" w:space="0" w:color="000000" w:themeColor="text1"/>
              <w:left w:val="single" w:sz="12"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0080846D" w14:textId="7A6C8E05" w:rsidR="436E9498" w:rsidRDefault="436E9498" w:rsidP="436E9498">
            <w:r w:rsidRPr="436E9498">
              <w:rPr>
                <w:rFonts w:ascii="Calibri" w:eastAsia="Calibri" w:hAnsi="Calibri" w:cs="Calibri"/>
                <w:color w:val="000000" w:themeColor="text1"/>
              </w:rPr>
              <w:t>HSMR</w:t>
            </w:r>
          </w:p>
        </w:tc>
        <w:tc>
          <w:tcPr>
            <w:tcW w:w="1828" w:type="dxa"/>
            <w:tcBorders>
              <w:top w:val="single" w:sz="12"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0EBD4F64" w14:textId="5D58732F" w:rsidR="436E9498" w:rsidRDefault="436E9498" w:rsidP="436E9498">
            <w:r w:rsidRPr="436E9498">
              <w:rPr>
                <w:rFonts w:ascii="Calibri" w:eastAsia="Calibri" w:hAnsi="Calibri" w:cs="Calibri"/>
                <w:color w:val="000000" w:themeColor="text1"/>
              </w:rPr>
              <w:t>R12M to Aug-23</w:t>
            </w:r>
          </w:p>
        </w:tc>
        <w:tc>
          <w:tcPr>
            <w:tcW w:w="1012" w:type="dxa"/>
            <w:tcBorders>
              <w:top w:val="single" w:sz="12"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4BE93844" w14:textId="2F650A09" w:rsidR="436E9498" w:rsidRDefault="436E9498" w:rsidP="436E9498">
            <w:r w:rsidRPr="436E9498">
              <w:rPr>
                <w:rFonts w:ascii="Calibri" w:eastAsia="Calibri" w:hAnsi="Calibri" w:cs="Calibri"/>
                <w:color w:val="000000" w:themeColor="text1"/>
                <w:sz w:val="16"/>
                <w:szCs w:val="16"/>
              </w:rPr>
              <w:t>109.3</w:t>
            </w:r>
          </w:p>
        </w:tc>
        <w:tc>
          <w:tcPr>
            <w:tcW w:w="1012" w:type="dxa"/>
            <w:tcBorders>
              <w:top w:val="single" w:sz="12"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4BC62BA5" w14:textId="29CEA327" w:rsidR="436E9498" w:rsidRDefault="436E9498" w:rsidP="436E9498">
            <w:r w:rsidRPr="436E9498">
              <w:rPr>
                <w:rFonts w:ascii="Calibri" w:eastAsia="Calibri" w:hAnsi="Calibri" w:cs="Calibri"/>
                <w:color w:val="000000" w:themeColor="text1"/>
                <w:sz w:val="16"/>
                <w:szCs w:val="16"/>
              </w:rPr>
              <w:t>108.2</w:t>
            </w:r>
          </w:p>
        </w:tc>
        <w:tc>
          <w:tcPr>
            <w:tcW w:w="1012" w:type="dxa"/>
            <w:tcBorders>
              <w:top w:val="single" w:sz="12"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694B539E" w14:textId="12DE3E29" w:rsidR="436E9498" w:rsidRDefault="436E9498" w:rsidP="436E9498">
            <w:r w:rsidRPr="436E9498">
              <w:rPr>
                <w:rFonts w:ascii="Calibri" w:eastAsia="Calibri" w:hAnsi="Calibri" w:cs="Calibri"/>
                <w:color w:val="000000" w:themeColor="text1"/>
                <w:sz w:val="16"/>
                <w:szCs w:val="16"/>
              </w:rPr>
              <w:t>102.5</w:t>
            </w:r>
          </w:p>
        </w:tc>
        <w:tc>
          <w:tcPr>
            <w:tcW w:w="1012" w:type="dxa"/>
            <w:tcBorders>
              <w:top w:val="single" w:sz="12"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196C0C24" w14:textId="715A050C" w:rsidR="436E9498" w:rsidRDefault="436E9498" w:rsidP="436E9498">
            <w:r w:rsidRPr="436E9498">
              <w:rPr>
                <w:rFonts w:ascii="Calibri" w:eastAsia="Calibri" w:hAnsi="Calibri" w:cs="Calibri"/>
                <w:color w:val="000000" w:themeColor="text1"/>
                <w:sz w:val="16"/>
                <w:szCs w:val="16"/>
              </w:rPr>
              <w:t>6.8</w:t>
            </w:r>
          </w:p>
        </w:tc>
        <w:tc>
          <w:tcPr>
            <w:tcW w:w="1683" w:type="dxa"/>
            <w:tcBorders>
              <w:top w:val="single" w:sz="6" w:space="0" w:color="000000" w:themeColor="text1"/>
              <w:left w:val="single" w:sz="6" w:space="0" w:color="000000" w:themeColor="text1"/>
              <w:bottom w:val="single" w:sz="6" w:space="0" w:color="000000" w:themeColor="text1"/>
              <w:right w:val="single" w:sz="12" w:space="0" w:color="000000" w:themeColor="text1"/>
            </w:tcBorders>
            <w:tcMar>
              <w:left w:w="30" w:type="dxa"/>
              <w:bottom w:w="30" w:type="dxa"/>
              <w:right w:w="30" w:type="dxa"/>
            </w:tcMar>
            <w:vAlign w:val="bottom"/>
          </w:tcPr>
          <w:p w14:paraId="091D8242" w14:textId="4944A611" w:rsidR="436E9498" w:rsidRDefault="436E9498" w:rsidP="436E9498">
            <w:r w:rsidRPr="436E9498">
              <w:rPr>
                <w:rFonts w:ascii="Calibri" w:eastAsia="Calibri" w:hAnsi="Calibri" w:cs="Calibri"/>
                <w:color w:val="000000" w:themeColor="text1"/>
                <w:sz w:val="16"/>
                <w:szCs w:val="16"/>
              </w:rPr>
              <w:t>'Mid range'</w:t>
            </w:r>
          </w:p>
        </w:tc>
      </w:tr>
      <w:tr w:rsidR="436E9498" w14:paraId="4755667C" w14:textId="77777777" w:rsidTr="436E9498">
        <w:trPr>
          <w:trHeight w:val="180"/>
        </w:trPr>
        <w:tc>
          <w:tcPr>
            <w:tcW w:w="3120" w:type="dxa"/>
            <w:tcBorders>
              <w:top w:val="single" w:sz="6" w:space="0" w:color="000000" w:themeColor="text1"/>
              <w:left w:val="single" w:sz="12"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75926E3A" w14:textId="2F20D812" w:rsidR="436E9498" w:rsidRDefault="436E9498" w:rsidP="436E9498">
            <w:r w:rsidRPr="436E9498">
              <w:rPr>
                <w:rFonts w:ascii="Calibri" w:eastAsia="Calibri" w:hAnsi="Calibri" w:cs="Calibri"/>
                <w:color w:val="000000" w:themeColor="text1"/>
              </w:rPr>
              <w:t>SHMI</w:t>
            </w:r>
          </w:p>
        </w:tc>
        <w:tc>
          <w:tcPr>
            <w:tcW w:w="18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3DF4BF3A" w14:textId="31D829A3" w:rsidR="436E9498" w:rsidRDefault="436E9498" w:rsidP="436E9498">
            <w:r w:rsidRPr="436E9498">
              <w:rPr>
                <w:rFonts w:ascii="Calibri" w:eastAsia="Calibri" w:hAnsi="Calibri" w:cs="Calibri"/>
                <w:color w:val="000000" w:themeColor="text1"/>
              </w:rPr>
              <w:t>R12M to May-23</w:t>
            </w:r>
          </w:p>
        </w:tc>
        <w:tc>
          <w:tcPr>
            <w:tcW w:w="101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784E2967" w14:textId="27896994" w:rsidR="436E9498" w:rsidRDefault="436E9498" w:rsidP="436E9498">
            <w:r w:rsidRPr="436E9498">
              <w:rPr>
                <w:rFonts w:ascii="Calibri" w:eastAsia="Calibri" w:hAnsi="Calibri" w:cs="Calibri"/>
                <w:color w:val="000000" w:themeColor="text1"/>
                <w:sz w:val="16"/>
                <w:szCs w:val="16"/>
              </w:rPr>
              <w:t>104.0</w:t>
            </w:r>
          </w:p>
        </w:tc>
        <w:tc>
          <w:tcPr>
            <w:tcW w:w="101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2F30FC70" w14:textId="7F695EB5" w:rsidR="436E9498" w:rsidRDefault="436E9498" w:rsidP="436E9498">
            <w:r w:rsidRPr="436E9498">
              <w:rPr>
                <w:rFonts w:ascii="Calibri" w:eastAsia="Calibri" w:hAnsi="Calibri" w:cs="Calibri"/>
                <w:color w:val="000000" w:themeColor="text1"/>
                <w:sz w:val="16"/>
                <w:szCs w:val="16"/>
              </w:rPr>
              <w:t>103.5</w:t>
            </w:r>
          </w:p>
        </w:tc>
        <w:tc>
          <w:tcPr>
            <w:tcW w:w="101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73DB17F7" w14:textId="665693FD" w:rsidR="436E9498" w:rsidRDefault="436E9498" w:rsidP="436E9498">
            <w:r w:rsidRPr="436E9498">
              <w:rPr>
                <w:rFonts w:ascii="Calibri" w:eastAsia="Calibri" w:hAnsi="Calibri" w:cs="Calibri"/>
                <w:color w:val="000000" w:themeColor="text1"/>
                <w:sz w:val="16"/>
                <w:szCs w:val="16"/>
              </w:rPr>
              <w:t>100.0</w:t>
            </w:r>
          </w:p>
        </w:tc>
        <w:tc>
          <w:tcPr>
            <w:tcW w:w="101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22D6B191" w14:textId="3EB83E16" w:rsidR="436E9498" w:rsidRDefault="436E9498" w:rsidP="436E9498">
            <w:r w:rsidRPr="436E9498">
              <w:rPr>
                <w:rFonts w:ascii="Calibri" w:eastAsia="Calibri" w:hAnsi="Calibri" w:cs="Calibri"/>
                <w:color w:val="000000" w:themeColor="text1"/>
                <w:sz w:val="16"/>
                <w:szCs w:val="16"/>
              </w:rPr>
              <w:t>4.1</w:t>
            </w:r>
          </w:p>
        </w:tc>
        <w:tc>
          <w:tcPr>
            <w:tcW w:w="1683" w:type="dxa"/>
            <w:tcBorders>
              <w:top w:val="single" w:sz="6" w:space="0" w:color="000000" w:themeColor="text1"/>
              <w:left w:val="single" w:sz="6" w:space="0" w:color="000000" w:themeColor="text1"/>
              <w:bottom w:val="single" w:sz="6" w:space="0" w:color="000000" w:themeColor="text1"/>
              <w:right w:val="single" w:sz="12" w:space="0" w:color="000000" w:themeColor="text1"/>
            </w:tcBorders>
            <w:tcMar>
              <w:left w:w="30" w:type="dxa"/>
              <w:bottom w:w="30" w:type="dxa"/>
              <w:right w:w="30" w:type="dxa"/>
            </w:tcMar>
            <w:vAlign w:val="bottom"/>
          </w:tcPr>
          <w:p w14:paraId="2B33C4C3" w14:textId="1CA9FD1F" w:rsidR="436E9498" w:rsidRDefault="436E9498" w:rsidP="436E9498">
            <w:r w:rsidRPr="436E9498">
              <w:rPr>
                <w:rFonts w:ascii="Calibri" w:eastAsia="Calibri" w:hAnsi="Calibri" w:cs="Calibri"/>
                <w:color w:val="000000" w:themeColor="text1"/>
                <w:sz w:val="16"/>
                <w:szCs w:val="16"/>
              </w:rPr>
              <w:t>'As expected'</w:t>
            </w:r>
          </w:p>
        </w:tc>
      </w:tr>
      <w:tr w:rsidR="436E9498" w14:paraId="0ABB0A35" w14:textId="77777777" w:rsidTr="436E9498">
        <w:trPr>
          <w:trHeight w:val="195"/>
        </w:trPr>
        <w:tc>
          <w:tcPr>
            <w:tcW w:w="3120" w:type="dxa"/>
            <w:tcBorders>
              <w:top w:val="single" w:sz="6" w:space="0" w:color="000000" w:themeColor="text1"/>
              <w:left w:val="single" w:sz="12"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7E46FF5D" w14:textId="5DED3BB2" w:rsidR="436E9498" w:rsidRDefault="436E9498" w:rsidP="436E9498">
            <w:r w:rsidRPr="436E9498">
              <w:rPr>
                <w:rFonts w:ascii="Calibri" w:eastAsia="Calibri" w:hAnsi="Calibri" w:cs="Calibri"/>
                <w:color w:val="000000" w:themeColor="text1"/>
              </w:rPr>
              <w:t>SHMI - In Hospital</w:t>
            </w:r>
          </w:p>
        </w:tc>
        <w:tc>
          <w:tcPr>
            <w:tcW w:w="18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02DF325F" w14:textId="74377F64" w:rsidR="436E9498" w:rsidRDefault="436E9498" w:rsidP="436E9498">
            <w:r w:rsidRPr="436E9498">
              <w:rPr>
                <w:rFonts w:ascii="Calibri" w:eastAsia="Calibri" w:hAnsi="Calibri" w:cs="Calibri"/>
                <w:color w:val="000000" w:themeColor="text1"/>
              </w:rPr>
              <w:t>R12M to Aug-23</w:t>
            </w:r>
          </w:p>
        </w:tc>
        <w:tc>
          <w:tcPr>
            <w:tcW w:w="101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25990B8D" w14:textId="247950E3" w:rsidR="436E9498" w:rsidRDefault="436E9498" w:rsidP="436E9498">
            <w:r w:rsidRPr="436E9498">
              <w:rPr>
                <w:rFonts w:ascii="Calibri" w:eastAsia="Calibri" w:hAnsi="Calibri" w:cs="Calibri"/>
                <w:color w:val="000000" w:themeColor="text1"/>
                <w:sz w:val="16"/>
                <w:szCs w:val="16"/>
              </w:rPr>
              <w:t>72.1</w:t>
            </w:r>
          </w:p>
        </w:tc>
        <w:tc>
          <w:tcPr>
            <w:tcW w:w="101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58DA75D6" w14:textId="41F170AE" w:rsidR="436E9498" w:rsidRDefault="436E9498" w:rsidP="436E9498">
            <w:r w:rsidRPr="436E9498">
              <w:rPr>
                <w:rFonts w:ascii="Calibri" w:eastAsia="Calibri" w:hAnsi="Calibri" w:cs="Calibri"/>
                <w:color w:val="000000" w:themeColor="text1"/>
                <w:sz w:val="16"/>
                <w:szCs w:val="16"/>
              </w:rPr>
              <w:t>70.4</w:t>
            </w:r>
          </w:p>
        </w:tc>
        <w:tc>
          <w:tcPr>
            <w:tcW w:w="101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0B9281ED" w14:textId="3BA5275B" w:rsidR="436E9498" w:rsidRDefault="436E9498" w:rsidP="436E9498">
            <w:r w:rsidRPr="436E9498">
              <w:rPr>
                <w:rFonts w:ascii="Calibri" w:eastAsia="Calibri" w:hAnsi="Calibri" w:cs="Calibri"/>
                <w:color w:val="000000" w:themeColor="text1"/>
                <w:sz w:val="16"/>
                <w:szCs w:val="16"/>
              </w:rPr>
              <w:t>75.6</w:t>
            </w:r>
          </w:p>
        </w:tc>
        <w:tc>
          <w:tcPr>
            <w:tcW w:w="101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2D7557EB" w14:textId="302035D9" w:rsidR="436E9498" w:rsidRDefault="436E9498" w:rsidP="436E9498">
            <w:r w:rsidRPr="436E9498">
              <w:rPr>
                <w:rFonts w:ascii="Calibri" w:eastAsia="Calibri" w:hAnsi="Calibri" w:cs="Calibri"/>
                <w:color w:val="000000" w:themeColor="text1"/>
                <w:sz w:val="16"/>
                <w:szCs w:val="16"/>
              </w:rPr>
              <w:t>-3.5</w:t>
            </w:r>
          </w:p>
        </w:tc>
        <w:tc>
          <w:tcPr>
            <w:tcW w:w="1683" w:type="dxa"/>
            <w:tcBorders>
              <w:top w:val="single" w:sz="6" w:space="0" w:color="000000" w:themeColor="text1"/>
              <w:left w:val="single" w:sz="6" w:space="0" w:color="000000" w:themeColor="text1"/>
              <w:bottom w:val="single" w:sz="6" w:space="0" w:color="000000" w:themeColor="text1"/>
              <w:right w:val="single" w:sz="12" w:space="0" w:color="000000" w:themeColor="text1"/>
            </w:tcBorders>
            <w:tcMar>
              <w:left w:w="30" w:type="dxa"/>
              <w:bottom w:w="30" w:type="dxa"/>
              <w:right w:w="30" w:type="dxa"/>
            </w:tcMar>
            <w:vAlign w:val="bottom"/>
          </w:tcPr>
          <w:p w14:paraId="0A9EC94E" w14:textId="3AA64FA6" w:rsidR="436E9498" w:rsidRDefault="436E9498" w:rsidP="436E9498">
            <w:r w:rsidRPr="436E9498">
              <w:rPr>
                <w:rFonts w:ascii="Calibri" w:eastAsia="Calibri" w:hAnsi="Calibri" w:cs="Calibri"/>
                <w:color w:val="000000" w:themeColor="text1"/>
                <w:sz w:val="16"/>
                <w:szCs w:val="16"/>
              </w:rPr>
              <w:t>'Mid range'</w:t>
            </w:r>
          </w:p>
        </w:tc>
      </w:tr>
      <w:tr w:rsidR="436E9498" w14:paraId="0523AB78" w14:textId="77777777" w:rsidTr="436E9498">
        <w:trPr>
          <w:trHeight w:val="180"/>
        </w:trPr>
        <w:tc>
          <w:tcPr>
            <w:tcW w:w="3120" w:type="dxa"/>
            <w:tcBorders>
              <w:top w:val="single" w:sz="6" w:space="0" w:color="000000" w:themeColor="text1"/>
              <w:left w:val="single" w:sz="12" w:space="0" w:color="000000" w:themeColor="text1"/>
              <w:bottom w:val="single" w:sz="12" w:space="0" w:color="000000" w:themeColor="text1"/>
              <w:right w:val="single" w:sz="6" w:space="0" w:color="000000" w:themeColor="text1"/>
            </w:tcBorders>
            <w:tcMar>
              <w:left w:w="30" w:type="dxa"/>
              <w:bottom w:w="30" w:type="dxa"/>
              <w:right w:w="30" w:type="dxa"/>
            </w:tcMar>
            <w:vAlign w:val="bottom"/>
          </w:tcPr>
          <w:p w14:paraId="4EF36343" w14:textId="4A5830A6" w:rsidR="436E9498" w:rsidRDefault="436E9498" w:rsidP="436E9498">
            <w:r w:rsidRPr="436E9498">
              <w:rPr>
                <w:rFonts w:ascii="Calibri" w:eastAsia="Calibri" w:hAnsi="Calibri" w:cs="Calibri"/>
                <w:color w:val="000000" w:themeColor="text1"/>
              </w:rPr>
              <w:t>Mortality Rate %</w:t>
            </w:r>
          </w:p>
        </w:tc>
        <w:tc>
          <w:tcPr>
            <w:tcW w:w="1828" w:type="dxa"/>
            <w:tcBorders>
              <w:top w:val="single" w:sz="6" w:space="0" w:color="000000" w:themeColor="text1"/>
              <w:left w:val="single" w:sz="6" w:space="0" w:color="000000" w:themeColor="text1"/>
              <w:bottom w:val="single" w:sz="12" w:space="0" w:color="000000" w:themeColor="text1"/>
              <w:right w:val="single" w:sz="6" w:space="0" w:color="000000" w:themeColor="text1"/>
            </w:tcBorders>
            <w:tcMar>
              <w:left w:w="30" w:type="dxa"/>
              <w:bottom w:w="30" w:type="dxa"/>
              <w:right w:w="30" w:type="dxa"/>
            </w:tcMar>
            <w:vAlign w:val="bottom"/>
          </w:tcPr>
          <w:p w14:paraId="2B16F589" w14:textId="16BCA19A" w:rsidR="436E9498" w:rsidRDefault="436E9498" w:rsidP="436E9498">
            <w:r w:rsidRPr="436E9498">
              <w:rPr>
                <w:rFonts w:ascii="Calibri" w:eastAsia="Calibri" w:hAnsi="Calibri" w:cs="Calibri"/>
                <w:color w:val="000000" w:themeColor="text1"/>
              </w:rPr>
              <w:t>R12M to Aug-23</w:t>
            </w:r>
          </w:p>
        </w:tc>
        <w:tc>
          <w:tcPr>
            <w:tcW w:w="1012" w:type="dxa"/>
            <w:tcBorders>
              <w:top w:val="single" w:sz="6" w:space="0" w:color="000000" w:themeColor="text1"/>
              <w:left w:val="single" w:sz="6" w:space="0" w:color="000000" w:themeColor="text1"/>
              <w:bottom w:val="single" w:sz="12" w:space="0" w:color="000000" w:themeColor="text1"/>
              <w:right w:val="single" w:sz="6" w:space="0" w:color="000000" w:themeColor="text1"/>
            </w:tcBorders>
            <w:tcMar>
              <w:left w:w="30" w:type="dxa"/>
              <w:bottom w:w="30" w:type="dxa"/>
              <w:right w:w="30" w:type="dxa"/>
            </w:tcMar>
            <w:vAlign w:val="bottom"/>
          </w:tcPr>
          <w:p w14:paraId="72328A72" w14:textId="327B33B6" w:rsidR="436E9498" w:rsidRDefault="436E9498" w:rsidP="436E9498">
            <w:r w:rsidRPr="436E9498">
              <w:rPr>
                <w:rFonts w:ascii="Calibri" w:eastAsia="Calibri" w:hAnsi="Calibri" w:cs="Calibri"/>
                <w:color w:val="000000" w:themeColor="text1"/>
                <w:sz w:val="16"/>
                <w:szCs w:val="16"/>
              </w:rPr>
              <w:t>1.15</w:t>
            </w:r>
          </w:p>
        </w:tc>
        <w:tc>
          <w:tcPr>
            <w:tcW w:w="1012" w:type="dxa"/>
            <w:tcBorders>
              <w:top w:val="single" w:sz="6" w:space="0" w:color="000000" w:themeColor="text1"/>
              <w:left w:val="single" w:sz="6" w:space="0" w:color="000000" w:themeColor="text1"/>
              <w:bottom w:val="single" w:sz="12" w:space="0" w:color="000000" w:themeColor="text1"/>
              <w:right w:val="single" w:sz="6" w:space="0" w:color="000000" w:themeColor="text1"/>
            </w:tcBorders>
            <w:tcMar>
              <w:left w:w="30" w:type="dxa"/>
              <w:bottom w:w="30" w:type="dxa"/>
              <w:right w:w="30" w:type="dxa"/>
            </w:tcMar>
            <w:vAlign w:val="bottom"/>
          </w:tcPr>
          <w:p w14:paraId="4B140CB9" w14:textId="3AE1BDF5" w:rsidR="436E9498" w:rsidRDefault="436E9498" w:rsidP="436E9498">
            <w:r w:rsidRPr="436E9498">
              <w:rPr>
                <w:rFonts w:ascii="Calibri" w:eastAsia="Calibri" w:hAnsi="Calibri" w:cs="Calibri"/>
                <w:color w:val="000000" w:themeColor="text1"/>
                <w:sz w:val="16"/>
                <w:szCs w:val="16"/>
              </w:rPr>
              <w:t>1.13</w:t>
            </w:r>
          </w:p>
        </w:tc>
        <w:tc>
          <w:tcPr>
            <w:tcW w:w="1012" w:type="dxa"/>
            <w:tcBorders>
              <w:top w:val="single" w:sz="6" w:space="0" w:color="000000" w:themeColor="text1"/>
              <w:left w:val="single" w:sz="6" w:space="0" w:color="000000" w:themeColor="text1"/>
              <w:bottom w:val="single" w:sz="12" w:space="0" w:color="000000" w:themeColor="text1"/>
              <w:right w:val="single" w:sz="6" w:space="0" w:color="000000" w:themeColor="text1"/>
            </w:tcBorders>
            <w:tcMar>
              <w:left w:w="30" w:type="dxa"/>
              <w:bottom w:w="30" w:type="dxa"/>
              <w:right w:w="30" w:type="dxa"/>
            </w:tcMar>
            <w:vAlign w:val="bottom"/>
          </w:tcPr>
          <w:p w14:paraId="3405A38E" w14:textId="4D8939B0" w:rsidR="436E9498" w:rsidRDefault="436E9498" w:rsidP="436E9498">
            <w:r w:rsidRPr="436E9498">
              <w:rPr>
                <w:rFonts w:ascii="Calibri" w:eastAsia="Calibri" w:hAnsi="Calibri" w:cs="Calibri"/>
                <w:color w:val="000000" w:themeColor="text1"/>
                <w:sz w:val="16"/>
                <w:szCs w:val="16"/>
              </w:rPr>
              <w:t>1.27</w:t>
            </w:r>
          </w:p>
        </w:tc>
        <w:tc>
          <w:tcPr>
            <w:tcW w:w="1012" w:type="dxa"/>
            <w:tcBorders>
              <w:top w:val="single" w:sz="6" w:space="0" w:color="000000" w:themeColor="text1"/>
              <w:left w:val="single" w:sz="6" w:space="0" w:color="000000" w:themeColor="text1"/>
              <w:bottom w:val="single" w:sz="12" w:space="0" w:color="000000" w:themeColor="text1"/>
              <w:right w:val="single" w:sz="6" w:space="0" w:color="000000" w:themeColor="text1"/>
            </w:tcBorders>
            <w:tcMar>
              <w:left w:w="30" w:type="dxa"/>
              <w:bottom w:w="30" w:type="dxa"/>
              <w:right w:w="30" w:type="dxa"/>
            </w:tcMar>
            <w:vAlign w:val="bottom"/>
          </w:tcPr>
          <w:p w14:paraId="1159C098" w14:textId="30C27DEA" w:rsidR="436E9498" w:rsidRDefault="436E9498" w:rsidP="436E9498">
            <w:r w:rsidRPr="436E9498">
              <w:rPr>
                <w:rFonts w:ascii="Calibri" w:eastAsia="Calibri" w:hAnsi="Calibri" w:cs="Calibri"/>
                <w:color w:val="000000" w:themeColor="text1"/>
                <w:sz w:val="16"/>
                <w:szCs w:val="16"/>
              </w:rPr>
              <w:t>-0.12</w:t>
            </w:r>
          </w:p>
        </w:tc>
        <w:tc>
          <w:tcPr>
            <w:tcW w:w="1683" w:type="dxa"/>
            <w:tcBorders>
              <w:top w:val="single" w:sz="6" w:space="0" w:color="000000" w:themeColor="text1"/>
              <w:left w:val="single" w:sz="6" w:space="0" w:color="000000" w:themeColor="text1"/>
              <w:bottom w:val="single" w:sz="12" w:space="0" w:color="000000" w:themeColor="text1"/>
              <w:right w:val="single" w:sz="12" w:space="0" w:color="000000" w:themeColor="text1"/>
            </w:tcBorders>
            <w:tcMar>
              <w:left w:w="30" w:type="dxa"/>
              <w:bottom w:w="30" w:type="dxa"/>
              <w:right w:w="30" w:type="dxa"/>
            </w:tcMar>
            <w:vAlign w:val="bottom"/>
          </w:tcPr>
          <w:p w14:paraId="3BB9301D" w14:textId="6E4A10E8" w:rsidR="436E9498" w:rsidRDefault="436E9498" w:rsidP="436E9498">
            <w:r w:rsidRPr="436E9498">
              <w:rPr>
                <w:rFonts w:ascii="Calibri" w:eastAsia="Calibri" w:hAnsi="Calibri" w:cs="Calibri"/>
                <w:color w:val="000000" w:themeColor="text1"/>
                <w:sz w:val="16"/>
                <w:szCs w:val="16"/>
              </w:rPr>
              <w:t>'First Quartile'</w:t>
            </w:r>
          </w:p>
        </w:tc>
      </w:tr>
      <w:tr w:rsidR="436E9498" w14:paraId="1776A6B8" w14:textId="77777777" w:rsidTr="436E9498">
        <w:trPr>
          <w:trHeight w:val="180"/>
        </w:trPr>
        <w:tc>
          <w:tcPr>
            <w:tcW w:w="3120" w:type="dxa"/>
            <w:tcBorders>
              <w:top w:val="single" w:sz="12" w:space="0" w:color="000000" w:themeColor="text1"/>
              <w:left w:val="single" w:sz="6" w:space="0" w:color="9A9A9A"/>
              <w:bottom w:val="single" w:sz="12" w:space="0" w:color="000000" w:themeColor="text1"/>
              <w:right w:val="single" w:sz="6" w:space="0" w:color="000000" w:themeColor="text1"/>
            </w:tcBorders>
            <w:tcMar>
              <w:left w:w="30" w:type="dxa"/>
              <w:bottom w:w="30" w:type="dxa"/>
              <w:right w:w="30" w:type="dxa"/>
            </w:tcMar>
            <w:vAlign w:val="bottom"/>
          </w:tcPr>
          <w:p w14:paraId="13739A26" w14:textId="271C2146" w:rsidR="436E9498" w:rsidRDefault="436E9498" w:rsidP="436E9498">
            <w:r>
              <w:br/>
            </w:r>
          </w:p>
        </w:tc>
        <w:tc>
          <w:tcPr>
            <w:tcW w:w="1828" w:type="dxa"/>
            <w:tcBorders>
              <w:top w:val="single" w:sz="12" w:space="0" w:color="000000" w:themeColor="text1"/>
              <w:left w:val="single" w:sz="6" w:space="0" w:color="000000" w:themeColor="text1"/>
              <w:bottom w:val="single" w:sz="12" w:space="0" w:color="000000" w:themeColor="text1"/>
              <w:right w:val="single" w:sz="6" w:space="0" w:color="000000" w:themeColor="text1"/>
            </w:tcBorders>
            <w:tcMar>
              <w:left w:w="30" w:type="dxa"/>
              <w:bottom w:w="30" w:type="dxa"/>
              <w:right w:w="30" w:type="dxa"/>
            </w:tcMar>
            <w:vAlign w:val="bottom"/>
          </w:tcPr>
          <w:p w14:paraId="2D7A4803" w14:textId="7965DBAD" w:rsidR="436E9498" w:rsidRDefault="436E9498" w:rsidP="436E9498">
            <w:r>
              <w:br/>
            </w:r>
          </w:p>
        </w:tc>
        <w:tc>
          <w:tcPr>
            <w:tcW w:w="1012" w:type="dxa"/>
            <w:tcBorders>
              <w:top w:val="single" w:sz="12" w:space="0" w:color="000000" w:themeColor="text1"/>
              <w:left w:val="single" w:sz="6" w:space="0" w:color="000000" w:themeColor="text1"/>
              <w:bottom w:val="single" w:sz="12" w:space="0" w:color="000000" w:themeColor="text1"/>
              <w:right w:val="single" w:sz="6" w:space="0" w:color="000000" w:themeColor="text1"/>
            </w:tcBorders>
            <w:tcMar>
              <w:left w:w="30" w:type="dxa"/>
              <w:bottom w:w="30" w:type="dxa"/>
              <w:right w:w="30" w:type="dxa"/>
            </w:tcMar>
            <w:vAlign w:val="bottom"/>
          </w:tcPr>
          <w:p w14:paraId="4A43AE11" w14:textId="45E21FFE" w:rsidR="436E9498" w:rsidRDefault="436E9498" w:rsidP="436E9498">
            <w:r>
              <w:br/>
            </w:r>
          </w:p>
        </w:tc>
        <w:tc>
          <w:tcPr>
            <w:tcW w:w="1012" w:type="dxa"/>
            <w:tcBorders>
              <w:top w:val="single" w:sz="12" w:space="0" w:color="000000" w:themeColor="text1"/>
              <w:left w:val="single" w:sz="6" w:space="0" w:color="000000" w:themeColor="text1"/>
              <w:bottom w:val="single" w:sz="12" w:space="0" w:color="000000" w:themeColor="text1"/>
              <w:right w:val="single" w:sz="6" w:space="0" w:color="000000" w:themeColor="text1"/>
            </w:tcBorders>
            <w:tcMar>
              <w:left w:w="30" w:type="dxa"/>
              <w:bottom w:w="30" w:type="dxa"/>
              <w:right w:w="30" w:type="dxa"/>
            </w:tcMar>
            <w:vAlign w:val="bottom"/>
          </w:tcPr>
          <w:p w14:paraId="7BC2E094" w14:textId="7D04733D" w:rsidR="436E9498" w:rsidRDefault="436E9498" w:rsidP="436E9498">
            <w:r>
              <w:br/>
            </w:r>
          </w:p>
        </w:tc>
        <w:tc>
          <w:tcPr>
            <w:tcW w:w="1012" w:type="dxa"/>
            <w:tcBorders>
              <w:top w:val="single" w:sz="12" w:space="0" w:color="000000" w:themeColor="text1"/>
              <w:left w:val="single" w:sz="6" w:space="0" w:color="000000" w:themeColor="text1"/>
              <w:bottom w:val="single" w:sz="12" w:space="0" w:color="000000" w:themeColor="text1"/>
              <w:right w:val="single" w:sz="6" w:space="0" w:color="000000" w:themeColor="text1"/>
            </w:tcBorders>
            <w:tcMar>
              <w:left w:w="30" w:type="dxa"/>
              <w:bottom w:w="30" w:type="dxa"/>
              <w:right w:w="30" w:type="dxa"/>
            </w:tcMar>
            <w:vAlign w:val="bottom"/>
          </w:tcPr>
          <w:p w14:paraId="4D31F4D9" w14:textId="4A1012D2" w:rsidR="436E9498" w:rsidRDefault="436E9498" w:rsidP="436E9498">
            <w:r>
              <w:br/>
            </w:r>
          </w:p>
        </w:tc>
        <w:tc>
          <w:tcPr>
            <w:tcW w:w="1012" w:type="dxa"/>
            <w:tcBorders>
              <w:top w:val="single" w:sz="12" w:space="0" w:color="000000" w:themeColor="text1"/>
              <w:left w:val="single" w:sz="6" w:space="0" w:color="000000" w:themeColor="text1"/>
              <w:bottom w:val="single" w:sz="12" w:space="0" w:color="000000" w:themeColor="text1"/>
              <w:right w:val="single" w:sz="6" w:space="0" w:color="000000" w:themeColor="text1"/>
            </w:tcBorders>
            <w:tcMar>
              <w:left w:w="30" w:type="dxa"/>
              <w:bottom w:w="30" w:type="dxa"/>
              <w:right w:w="30" w:type="dxa"/>
            </w:tcMar>
            <w:vAlign w:val="bottom"/>
          </w:tcPr>
          <w:p w14:paraId="081D9C4E" w14:textId="67775EC1" w:rsidR="436E9498" w:rsidRDefault="436E9498" w:rsidP="436E9498">
            <w:r>
              <w:br/>
            </w:r>
          </w:p>
        </w:tc>
        <w:tc>
          <w:tcPr>
            <w:tcW w:w="1683" w:type="dxa"/>
            <w:tcBorders>
              <w:top w:val="single" w:sz="12" w:space="0" w:color="000000" w:themeColor="text1"/>
              <w:left w:val="single" w:sz="6" w:space="0" w:color="000000" w:themeColor="text1"/>
              <w:bottom w:val="single" w:sz="12" w:space="0" w:color="000000" w:themeColor="text1"/>
              <w:right w:val="single" w:sz="6" w:space="0" w:color="9A9A9A"/>
            </w:tcBorders>
            <w:tcMar>
              <w:left w:w="30" w:type="dxa"/>
              <w:bottom w:w="30" w:type="dxa"/>
              <w:right w:w="30" w:type="dxa"/>
            </w:tcMar>
            <w:vAlign w:val="bottom"/>
          </w:tcPr>
          <w:p w14:paraId="1E6C18EC" w14:textId="64240A92" w:rsidR="436E9498" w:rsidRDefault="436E9498" w:rsidP="436E9498">
            <w:r>
              <w:br/>
            </w:r>
          </w:p>
        </w:tc>
      </w:tr>
      <w:tr w:rsidR="436E9498" w14:paraId="4E3FF697" w14:textId="77777777" w:rsidTr="436E9498">
        <w:trPr>
          <w:trHeight w:val="180"/>
        </w:trPr>
        <w:tc>
          <w:tcPr>
            <w:tcW w:w="3120" w:type="dxa"/>
            <w:tcBorders>
              <w:top w:val="single" w:sz="12" w:space="0" w:color="000000" w:themeColor="text1"/>
              <w:left w:val="single" w:sz="12"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5CB28F65" w14:textId="008FC33D" w:rsidR="436E9498" w:rsidRDefault="436E9498" w:rsidP="436E9498">
            <w:r w:rsidRPr="436E9498">
              <w:rPr>
                <w:rFonts w:ascii="Calibri" w:eastAsia="Calibri" w:hAnsi="Calibri" w:cs="Calibri"/>
                <w:color w:val="000000" w:themeColor="text1"/>
              </w:rPr>
              <w:t>Sepsis: In Hospital Mortality - primary diagnosis</w:t>
            </w:r>
          </w:p>
        </w:tc>
        <w:tc>
          <w:tcPr>
            <w:tcW w:w="1828" w:type="dxa"/>
            <w:tcBorders>
              <w:top w:val="single" w:sz="12"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74EA571C" w14:textId="4B825CF6" w:rsidR="436E9498" w:rsidRDefault="436E9498" w:rsidP="436E9498">
            <w:r w:rsidRPr="436E9498">
              <w:rPr>
                <w:rFonts w:ascii="Calibri" w:eastAsia="Calibri" w:hAnsi="Calibri" w:cs="Calibri"/>
                <w:color w:val="000000" w:themeColor="text1"/>
              </w:rPr>
              <w:t>R12M to Aug-23</w:t>
            </w:r>
          </w:p>
        </w:tc>
        <w:tc>
          <w:tcPr>
            <w:tcW w:w="1012" w:type="dxa"/>
            <w:tcBorders>
              <w:top w:val="single" w:sz="12"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105A88B6" w14:textId="23E29EF9" w:rsidR="436E9498" w:rsidRDefault="436E9498" w:rsidP="436E9498">
            <w:r w:rsidRPr="436E9498">
              <w:rPr>
                <w:rFonts w:ascii="Calibri" w:eastAsia="Calibri" w:hAnsi="Calibri" w:cs="Calibri"/>
                <w:color w:val="000000" w:themeColor="text1"/>
                <w:sz w:val="16"/>
                <w:szCs w:val="16"/>
              </w:rPr>
              <w:t>15.3%</w:t>
            </w:r>
          </w:p>
        </w:tc>
        <w:tc>
          <w:tcPr>
            <w:tcW w:w="1012" w:type="dxa"/>
            <w:tcBorders>
              <w:top w:val="single" w:sz="12"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2DDD980B" w14:textId="1D956066" w:rsidR="436E9498" w:rsidRDefault="436E9498" w:rsidP="436E9498">
            <w:r w:rsidRPr="436E9498">
              <w:rPr>
                <w:rFonts w:ascii="Calibri" w:eastAsia="Calibri" w:hAnsi="Calibri" w:cs="Calibri"/>
                <w:color w:val="000000" w:themeColor="text1"/>
                <w:sz w:val="16"/>
                <w:szCs w:val="16"/>
              </w:rPr>
              <w:t>15.4%</w:t>
            </w:r>
          </w:p>
        </w:tc>
        <w:tc>
          <w:tcPr>
            <w:tcW w:w="1012" w:type="dxa"/>
            <w:tcBorders>
              <w:top w:val="single" w:sz="12"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2651BF1D" w14:textId="1DBFA01D" w:rsidR="436E9498" w:rsidRDefault="436E9498" w:rsidP="436E9498">
            <w:r w:rsidRPr="436E9498">
              <w:rPr>
                <w:rFonts w:ascii="Calibri" w:eastAsia="Calibri" w:hAnsi="Calibri" w:cs="Calibri"/>
                <w:color w:val="000000" w:themeColor="text1"/>
                <w:sz w:val="16"/>
                <w:szCs w:val="16"/>
              </w:rPr>
              <w:t>19.1%</w:t>
            </w:r>
          </w:p>
        </w:tc>
        <w:tc>
          <w:tcPr>
            <w:tcW w:w="1012" w:type="dxa"/>
            <w:tcBorders>
              <w:top w:val="single" w:sz="12"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6734F544" w14:textId="57AA92A6" w:rsidR="436E9498" w:rsidRDefault="436E9498" w:rsidP="436E9498">
            <w:r w:rsidRPr="436E9498">
              <w:rPr>
                <w:rFonts w:ascii="Calibri" w:eastAsia="Calibri" w:hAnsi="Calibri" w:cs="Calibri"/>
                <w:color w:val="000000" w:themeColor="text1"/>
                <w:sz w:val="16"/>
                <w:szCs w:val="16"/>
              </w:rPr>
              <w:t>-3.8%</w:t>
            </w:r>
          </w:p>
        </w:tc>
        <w:tc>
          <w:tcPr>
            <w:tcW w:w="1683" w:type="dxa"/>
            <w:tcBorders>
              <w:top w:val="single" w:sz="12" w:space="0" w:color="000000" w:themeColor="text1"/>
              <w:left w:val="single" w:sz="6" w:space="0" w:color="000000" w:themeColor="text1"/>
              <w:bottom w:val="single" w:sz="6" w:space="0" w:color="000000" w:themeColor="text1"/>
              <w:right w:val="single" w:sz="12" w:space="0" w:color="000000" w:themeColor="text1"/>
            </w:tcBorders>
            <w:tcMar>
              <w:left w:w="30" w:type="dxa"/>
              <w:bottom w:w="30" w:type="dxa"/>
              <w:right w:w="30" w:type="dxa"/>
            </w:tcMar>
            <w:vAlign w:val="bottom"/>
          </w:tcPr>
          <w:p w14:paraId="7AA0CEAF" w14:textId="5F8BCCFF" w:rsidR="436E9498" w:rsidRDefault="436E9498" w:rsidP="436E9498">
            <w:r w:rsidRPr="436E9498">
              <w:rPr>
                <w:rFonts w:ascii="Calibri" w:eastAsia="Calibri" w:hAnsi="Calibri" w:cs="Calibri"/>
                <w:color w:val="000000" w:themeColor="text1"/>
                <w:sz w:val="16"/>
                <w:szCs w:val="16"/>
              </w:rPr>
              <w:t>'First Quartile'</w:t>
            </w:r>
          </w:p>
        </w:tc>
      </w:tr>
      <w:tr w:rsidR="436E9498" w14:paraId="2B7C20C9" w14:textId="77777777" w:rsidTr="436E9498">
        <w:trPr>
          <w:trHeight w:val="195"/>
        </w:trPr>
        <w:tc>
          <w:tcPr>
            <w:tcW w:w="3120" w:type="dxa"/>
            <w:tcBorders>
              <w:top w:val="single" w:sz="6" w:space="0" w:color="000000" w:themeColor="text1"/>
              <w:left w:val="single" w:sz="12" w:space="0" w:color="000000" w:themeColor="text1"/>
              <w:bottom w:val="single" w:sz="12" w:space="0" w:color="000000" w:themeColor="text1"/>
              <w:right w:val="single" w:sz="6" w:space="0" w:color="000000" w:themeColor="text1"/>
            </w:tcBorders>
            <w:tcMar>
              <w:left w:w="30" w:type="dxa"/>
              <w:bottom w:w="30" w:type="dxa"/>
              <w:right w:w="30" w:type="dxa"/>
            </w:tcMar>
            <w:vAlign w:val="bottom"/>
          </w:tcPr>
          <w:p w14:paraId="7F6265BF" w14:textId="23832B85" w:rsidR="436E9498" w:rsidRDefault="436E9498" w:rsidP="436E9498">
            <w:r w:rsidRPr="436E9498">
              <w:rPr>
                <w:rFonts w:ascii="Calibri" w:eastAsia="Calibri" w:hAnsi="Calibri" w:cs="Calibri"/>
                <w:color w:val="000000" w:themeColor="text1"/>
              </w:rPr>
              <w:t>Sepsis: In Hospital Mortality - any diagnosis</w:t>
            </w:r>
          </w:p>
        </w:tc>
        <w:tc>
          <w:tcPr>
            <w:tcW w:w="1828" w:type="dxa"/>
            <w:tcBorders>
              <w:top w:val="single" w:sz="6" w:space="0" w:color="000000" w:themeColor="text1"/>
              <w:left w:val="single" w:sz="6" w:space="0" w:color="000000" w:themeColor="text1"/>
              <w:bottom w:val="single" w:sz="12" w:space="0" w:color="000000" w:themeColor="text1"/>
              <w:right w:val="single" w:sz="6" w:space="0" w:color="000000" w:themeColor="text1"/>
            </w:tcBorders>
            <w:tcMar>
              <w:left w:w="30" w:type="dxa"/>
              <w:bottom w:w="30" w:type="dxa"/>
              <w:right w:w="30" w:type="dxa"/>
            </w:tcMar>
            <w:vAlign w:val="bottom"/>
          </w:tcPr>
          <w:p w14:paraId="33DF3D5B" w14:textId="1AE6EEFE" w:rsidR="436E9498" w:rsidRDefault="436E9498" w:rsidP="436E9498">
            <w:r w:rsidRPr="436E9498">
              <w:rPr>
                <w:rFonts w:ascii="Calibri" w:eastAsia="Calibri" w:hAnsi="Calibri" w:cs="Calibri"/>
                <w:color w:val="000000" w:themeColor="text1"/>
              </w:rPr>
              <w:t>R12M to Aug-23</w:t>
            </w:r>
          </w:p>
        </w:tc>
        <w:tc>
          <w:tcPr>
            <w:tcW w:w="101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3A296F61" w14:textId="0F6AD0AD" w:rsidR="436E9498" w:rsidRDefault="436E9498" w:rsidP="436E9498">
            <w:r w:rsidRPr="436E9498">
              <w:rPr>
                <w:rFonts w:ascii="Calibri" w:eastAsia="Calibri" w:hAnsi="Calibri" w:cs="Calibri"/>
                <w:color w:val="000000" w:themeColor="text1"/>
                <w:sz w:val="16"/>
                <w:szCs w:val="16"/>
              </w:rPr>
              <w:t>22.9%</w:t>
            </w:r>
          </w:p>
        </w:tc>
        <w:tc>
          <w:tcPr>
            <w:tcW w:w="101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3C4E6476" w14:textId="21A46550" w:rsidR="436E9498" w:rsidRDefault="436E9498" w:rsidP="436E9498">
            <w:r w:rsidRPr="436E9498">
              <w:rPr>
                <w:rFonts w:ascii="Calibri" w:eastAsia="Calibri" w:hAnsi="Calibri" w:cs="Calibri"/>
                <w:color w:val="000000" w:themeColor="text1"/>
                <w:sz w:val="16"/>
                <w:szCs w:val="16"/>
              </w:rPr>
              <w:t>22.9%</w:t>
            </w:r>
          </w:p>
        </w:tc>
        <w:tc>
          <w:tcPr>
            <w:tcW w:w="101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748B669F" w14:textId="6BE47A87" w:rsidR="436E9498" w:rsidRDefault="436E9498" w:rsidP="436E9498">
            <w:r w:rsidRPr="436E9498">
              <w:rPr>
                <w:rFonts w:ascii="Calibri" w:eastAsia="Calibri" w:hAnsi="Calibri" w:cs="Calibri"/>
                <w:color w:val="000000" w:themeColor="text1"/>
                <w:sz w:val="16"/>
                <w:szCs w:val="16"/>
              </w:rPr>
              <w:t>21.7%</w:t>
            </w:r>
          </w:p>
        </w:tc>
        <w:tc>
          <w:tcPr>
            <w:tcW w:w="1012" w:type="dxa"/>
            <w:tcBorders>
              <w:top w:val="single" w:sz="6" w:space="0" w:color="000000" w:themeColor="text1"/>
              <w:left w:val="single" w:sz="6" w:space="0" w:color="000000" w:themeColor="text1"/>
              <w:bottom w:val="single" w:sz="12" w:space="0" w:color="000000" w:themeColor="text1"/>
              <w:right w:val="single" w:sz="6" w:space="0" w:color="000000" w:themeColor="text1"/>
            </w:tcBorders>
            <w:tcMar>
              <w:left w:w="30" w:type="dxa"/>
              <w:bottom w:w="30" w:type="dxa"/>
              <w:right w:w="30" w:type="dxa"/>
            </w:tcMar>
            <w:vAlign w:val="bottom"/>
          </w:tcPr>
          <w:p w14:paraId="684A1BB6" w14:textId="786C2218" w:rsidR="436E9498" w:rsidRDefault="436E9498" w:rsidP="436E9498">
            <w:r w:rsidRPr="436E9498">
              <w:rPr>
                <w:rFonts w:ascii="Calibri" w:eastAsia="Calibri" w:hAnsi="Calibri" w:cs="Calibri"/>
                <w:color w:val="000000" w:themeColor="text1"/>
                <w:sz w:val="16"/>
                <w:szCs w:val="16"/>
              </w:rPr>
              <w:t>1.1%</w:t>
            </w:r>
          </w:p>
        </w:tc>
        <w:tc>
          <w:tcPr>
            <w:tcW w:w="1683" w:type="dxa"/>
            <w:tcBorders>
              <w:top w:val="single" w:sz="6" w:space="0" w:color="000000" w:themeColor="text1"/>
              <w:left w:val="single" w:sz="6" w:space="0" w:color="000000" w:themeColor="text1"/>
              <w:bottom w:val="single" w:sz="12" w:space="0" w:color="000000" w:themeColor="text1"/>
              <w:right w:val="single" w:sz="12" w:space="0" w:color="000000" w:themeColor="text1"/>
            </w:tcBorders>
            <w:tcMar>
              <w:left w:w="30" w:type="dxa"/>
              <w:bottom w:w="30" w:type="dxa"/>
              <w:right w:w="30" w:type="dxa"/>
            </w:tcMar>
            <w:vAlign w:val="bottom"/>
          </w:tcPr>
          <w:p w14:paraId="6CAC1931" w14:textId="6A88D7A4" w:rsidR="436E9498" w:rsidRDefault="436E9498" w:rsidP="436E9498">
            <w:r w:rsidRPr="436E9498">
              <w:rPr>
                <w:rFonts w:ascii="Calibri" w:eastAsia="Calibri" w:hAnsi="Calibri" w:cs="Calibri"/>
                <w:color w:val="000000" w:themeColor="text1"/>
                <w:sz w:val="16"/>
                <w:szCs w:val="16"/>
              </w:rPr>
              <w:t>'Mid range'</w:t>
            </w:r>
          </w:p>
        </w:tc>
      </w:tr>
      <w:tr w:rsidR="436E9498" w14:paraId="08FDEA78" w14:textId="77777777" w:rsidTr="436E9498">
        <w:trPr>
          <w:trHeight w:val="195"/>
        </w:trPr>
        <w:tc>
          <w:tcPr>
            <w:tcW w:w="3120" w:type="dxa"/>
            <w:tcBorders>
              <w:top w:val="single" w:sz="12" w:space="0" w:color="000000" w:themeColor="text1"/>
              <w:left w:val="single" w:sz="6" w:space="0" w:color="9A9A9A"/>
              <w:bottom w:val="single" w:sz="12" w:space="0" w:color="000000" w:themeColor="text1"/>
              <w:right w:val="single" w:sz="6" w:space="0" w:color="000000" w:themeColor="text1"/>
            </w:tcBorders>
            <w:tcMar>
              <w:left w:w="30" w:type="dxa"/>
              <w:bottom w:w="30" w:type="dxa"/>
              <w:right w:w="30" w:type="dxa"/>
            </w:tcMar>
            <w:vAlign w:val="bottom"/>
          </w:tcPr>
          <w:p w14:paraId="2E90520F" w14:textId="266E4262" w:rsidR="436E9498" w:rsidRDefault="436E9498" w:rsidP="436E9498">
            <w:r>
              <w:br/>
            </w:r>
          </w:p>
        </w:tc>
        <w:tc>
          <w:tcPr>
            <w:tcW w:w="1828" w:type="dxa"/>
            <w:tcBorders>
              <w:top w:val="single" w:sz="12" w:space="0" w:color="000000" w:themeColor="text1"/>
              <w:left w:val="single" w:sz="6" w:space="0" w:color="000000" w:themeColor="text1"/>
              <w:bottom w:val="single" w:sz="12" w:space="0" w:color="000000" w:themeColor="text1"/>
              <w:right w:val="single" w:sz="6" w:space="0" w:color="000000" w:themeColor="text1"/>
            </w:tcBorders>
            <w:tcMar>
              <w:left w:w="30" w:type="dxa"/>
              <w:bottom w:w="30" w:type="dxa"/>
              <w:right w:w="30" w:type="dxa"/>
            </w:tcMar>
            <w:vAlign w:val="bottom"/>
          </w:tcPr>
          <w:p w14:paraId="368905E6" w14:textId="0C4F5436" w:rsidR="436E9498" w:rsidRDefault="436E9498" w:rsidP="436E9498">
            <w:r>
              <w:br/>
            </w:r>
          </w:p>
        </w:tc>
        <w:tc>
          <w:tcPr>
            <w:tcW w:w="1012" w:type="dxa"/>
            <w:tcBorders>
              <w:top w:val="single" w:sz="6" w:space="0" w:color="000000" w:themeColor="text1"/>
              <w:left w:val="single" w:sz="6" w:space="0" w:color="000000" w:themeColor="text1"/>
              <w:bottom w:val="single" w:sz="12" w:space="0" w:color="000000" w:themeColor="text1"/>
              <w:right w:val="single" w:sz="6" w:space="0" w:color="000000" w:themeColor="text1"/>
            </w:tcBorders>
            <w:tcMar>
              <w:left w:w="30" w:type="dxa"/>
              <w:bottom w:w="30" w:type="dxa"/>
              <w:right w:w="30" w:type="dxa"/>
            </w:tcMar>
            <w:vAlign w:val="bottom"/>
          </w:tcPr>
          <w:p w14:paraId="6ACCBB09" w14:textId="44333D5E" w:rsidR="436E9498" w:rsidRDefault="436E9498" w:rsidP="436E9498">
            <w:r>
              <w:br/>
            </w:r>
          </w:p>
        </w:tc>
        <w:tc>
          <w:tcPr>
            <w:tcW w:w="1012" w:type="dxa"/>
            <w:tcBorders>
              <w:top w:val="single" w:sz="6" w:space="0" w:color="000000" w:themeColor="text1"/>
              <w:left w:val="single" w:sz="6" w:space="0" w:color="000000" w:themeColor="text1"/>
              <w:bottom w:val="single" w:sz="12" w:space="0" w:color="000000" w:themeColor="text1"/>
              <w:right w:val="single" w:sz="6" w:space="0" w:color="000000" w:themeColor="text1"/>
            </w:tcBorders>
            <w:tcMar>
              <w:left w:w="30" w:type="dxa"/>
              <w:bottom w:w="30" w:type="dxa"/>
              <w:right w:w="30" w:type="dxa"/>
            </w:tcMar>
            <w:vAlign w:val="bottom"/>
          </w:tcPr>
          <w:p w14:paraId="4CBEC508" w14:textId="6026ED95" w:rsidR="436E9498" w:rsidRDefault="436E9498" w:rsidP="436E9498">
            <w:r>
              <w:br/>
            </w:r>
          </w:p>
        </w:tc>
        <w:tc>
          <w:tcPr>
            <w:tcW w:w="1012" w:type="dxa"/>
            <w:tcBorders>
              <w:top w:val="single" w:sz="6" w:space="0" w:color="000000" w:themeColor="text1"/>
              <w:left w:val="single" w:sz="6" w:space="0" w:color="000000" w:themeColor="text1"/>
              <w:bottom w:val="single" w:sz="12" w:space="0" w:color="000000" w:themeColor="text1"/>
              <w:right w:val="single" w:sz="6" w:space="0" w:color="000000" w:themeColor="text1"/>
            </w:tcBorders>
            <w:tcMar>
              <w:left w:w="30" w:type="dxa"/>
              <w:bottom w:w="30" w:type="dxa"/>
              <w:right w:w="30" w:type="dxa"/>
            </w:tcMar>
            <w:vAlign w:val="bottom"/>
          </w:tcPr>
          <w:p w14:paraId="0EE0FA8F" w14:textId="6E3DE826" w:rsidR="436E9498" w:rsidRDefault="436E9498" w:rsidP="436E9498">
            <w:r>
              <w:br/>
            </w:r>
          </w:p>
        </w:tc>
        <w:tc>
          <w:tcPr>
            <w:tcW w:w="1012" w:type="dxa"/>
            <w:tcBorders>
              <w:top w:val="single" w:sz="12" w:space="0" w:color="000000" w:themeColor="text1"/>
              <w:left w:val="single" w:sz="6" w:space="0" w:color="000000" w:themeColor="text1"/>
              <w:bottom w:val="single" w:sz="12" w:space="0" w:color="000000" w:themeColor="text1"/>
              <w:right w:val="single" w:sz="6" w:space="0" w:color="000000" w:themeColor="text1"/>
            </w:tcBorders>
            <w:tcMar>
              <w:left w:w="30" w:type="dxa"/>
              <w:bottom w:w="30" w:type="dxa"/>
              <w:right w:w="30" w:type="dxa"/>
            </w:tcMar>
            <w:vAlign w:val="bottom"/>
          </w:tcPr>
          <w:p w14:paraId="44E2A229" w14:textId="636D4E71" w:rsidR="436E9498" w:rsidRDefault="436E9498" w:rsidP="436E9498">
            <w:r>
              <w:br/>
            </w:r>
          </w:p>
        </w:tc>
        <w:tc>
          <w:tcPr>
            <w:tcW w:w="1683" w:type="dxa"/>
            <w:tcBorders>
              <w:top w:val="single" w:sz="12" w:space="0" w:color="000000" w:themeColor="text1"/>
              <w:left w:val="single" w:sz="6" w:space="0" w:color="000000" w:themeColor="text1"/>
              <w:bottom w:val="single" w:sz="12" w:space="0" w:color="000000" w:themeColor="text1"/>
              <w:right w:val="single" w:sz="6" w:space="0" w:color="9A9A9A"/>
            </w:tcBorders>
            <w:tcMar>
              <w:left w:w="30" w:type="dxa"/>
              <w:bottom w:w="30" w:type="dxa"/>
              <w:right w:w="30" w:type="dxa"/>
            </w:tcMar>
            <w:vAlign w:val="bottom"/>
          </w:tcPr>
          <w:p w14:paraId="2AE3C6D3" w14:textId="1ED28CB8" w:rsidR="436E9498" w:rsidRDefault="436E9498" w:rsidP="436E9498">
            <w:r>
              <w:br/>
            </w:r>
          </w:p>
        </w:tc>
      </w:tr>
      <w:tr w:rsidR="436E9498" w14:paraId="70712562" w14:textId="77777777" w:rsidTr="436E9498">
        <w:trPr>
          <w:trHeight w:val="180"/>
        </w:trPr>
        <w:tc>
          <w:tcPr>
            <w:tcW w:w="3120" w:type="dxa"/>
            <w:tcBorders>
              <w:top w:val="single" w:sz="12" w:space="0" w:color="000000" w:themeColor="text1"/>
              <w:left w:val="single" w:sz="12"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7CABC1FF" w14:textId="37666216" w:rsidR="436E9498" w:rsidRDefault="436E9498" w:rsidP="436E9498">
            <w:r w:rsidRPr="436E9498">
              <w:rPr>
                <w:rFonts w:ascii="Calibri" w:eastAsia="Calibri" w:hAnsi="Calibri" w:cs="Calibri"/>
                <w:color w:val="000000" w:themeColor="text1"/>
              </w:rPr>
              <w:t>FCEs  with palliative care code Z515</w:t>
            </w:r>
          </w:p>
        </w:tc>
        <w:tc>
          <w:tcPr>
            <w:tcW w:w="1828" w:type="dxa"/>
            <w:tcBorders>
              <w:top w:val="single" w:sz="12"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75C3F9A8" w14:textId="601DEB91" w:rsidR="436E9498" w:rsidRDefault="436E9498" w:rsidP="436E9498">
            <w:r w:rsidRPr="436E9498">
              <w:rPr>
                <w:rFonts w:ascii="Calibri" w:eastAsia="Calibri" w:hAnsi="Calibri" w:cs="Calibri"/>
                <w:color w:val="000000" w:themeColor="text1"/>
              </w:rPr>
              <w:t>R12M to Aug-23</w:t>
            </w:r>
          </w:p>
        </w:tc>
        <w:tc>
          <w:tcPr>
            <w:tcW w:w="1012" w:type="dxa"/>
            <w:tcBorders>
              <w:top w:val="single" w:sz="12"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4084BBD9" w14:textId="3DB14417" w:rsidR="436E9498" w:rsidRDefault="436E9498" w:rsidP="436E9498">
            <w:r w:rsidRPr="436E9498">
              <w:rPr>
                <w:rFonts w:ascii="Calibri" w:eastAsia="Calibri" w:hAnsi="Calibri" w:cs="Calibri"/>
                <w:color w:val="000000" w:themeColor="text1"/>
                <w:sz w:val="16"/>
                <w:szCs w:val="16"/>
              </w:rPr>
              <w:t>1.60%</w:t>
            </w:r>
          </w:p>
        </w:tc>
        <w:tc>
          <w:tcPr>
            <w:tcW w:w="1012" w:type="dxa"/>
            <w:tcBorders>
              <w:top w:val="single" w:sz="12"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56D18442" w14:textId="041A965F" w:rsidR="436E9498" w:rsidRDefault="436E9498" w:rsidP="436E9498">
            <w:r w:rsidRPr="436E9498">
              <w:rPr>
                <w:rFonts w:ascii="Calibri" w:eastAsia="Calibri" w:hAnsi="Calibri" w:cs="Calibri"/>
                <w:color w:val="000000" w:themeColor="text1"/>
                <w:sz w:val="16"/>
                <w:szCs w:val="16"/>
              </w:rPr>
              <w:t>1.6%</w:t>
            </w:r>
          </w:p>
        </w:tc>
        <w:tc>
          <w:tcPr>
            <w:tcW w:w="1012" w:type="dxa"/>
            <w:tcBorders>
              <w:top w:val="single" w:sz="12"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3605084F" w14:textId="0E0AAD0C" w:rsidR="436E9498" w:rsidRDefault="436E9498" w:rsidP="436E9498">
            <w:r w:rsidRPr="436E9498">
              <w:rPr>
                <w:rFonts w:ascii="Calibri" w:eastAsia="Calibri" w:hAnsi="Calibri" w:cs="Calibri"/>
                <w:color w:val="000000" w:themeColor="text1"/>
                <w:sz w:val="16"/>
                <w:szCs w:val="16"/>
              </w:rPr>
              <w:t>1.4%</w:t>
            </w:r>
          </w:p>
        </w:tc>
        <w:tc>
          <w:tcPr>
            <w:tcW w:w="1012" w:type="dxa"/>
            <w:tcBorders>
              <w:top w:val="single" w:sz="12"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4CFC9441" w14:textId="2F21F3DC" w:rsidR="436E9498" w:rsidRDefault="436E9498" w:rsidP="436E9498">
            <w:r w:rsidRPr="436E9498">
              <w:rPr>
                <w:rFonts w:ascii="Calibri" w:eastAsia="Calibri" w:hAnsi="Calibri" w:cs="Calibri"/>
                <w:color w:val="000000" w:themeColor="text1"/>
                <w:sz w:val="16"/>
                <w:szCs w:val="16"/>
              </w:rPr>
              <w:t>0.2%</w:t>
            </w:r>
          </w:p>
        </w:tc>
        <w:tc>
          <w:tcPr>
            <w:tcW w:w="1683" w:type="dxa"/>
            <w:tcBorders>
              <w:top w:val="single" w:sz="12" w:space="0" w:color="000000" w:themeColor="text1"/>
              <w:left w:val="single" w:sz="6" w:space="0" w:color="000000" w:themeColor="text1"/>
              <w:bottom w:val="single" w:sz="6" w:space="0" w:color="000000" w:themeColor="text1"/>
              <w:right w:val="single" w:sz="12" w:space="0" w:color="000000" w:themeColor="text1"/>
            </w:tcBorders>
            <w:tcMar>
              <w:left w:w="30" w:type="dxa"/>
              <w:bottom w:w="30" w:type="dxa"/>
              <w:right w:w="30" w:type="dxa"/>
            </w:tcMar>
            <w:vAlign w:val="bottom"/>
          </w:tcPr>
          <w:p w14:paraId="35E2DC92" w14:textId="4BDF7AF3" w:rsidR="436E9498" w:rsidRDefault="436E9498" w:rsidP="436E9498">
            <w:r w:rsidRPr="436E9498">
              <w:rPr>
                <w:rFonts w:ascii="Calibri" w:eastAsia="Calibri" w:hAnsi="Calibri" w:cs="Calibri"/>
                <w:color w:val="000000" w:themeColor="text1"/>
                <w:sz w:val="16"/>
                <w:szCs w:val="16"/>
              </w:rPr>
              <w:t>'Mid range'</w:t>
            </w:r>
          </w:p>
        </w:tc>
      </w:tr>
      <w:tr w:rsidR="436E9498" w14:paraId="5C3F5FB6" w14:textId="77777777" w:rsidTr="436E9498">
        <w:trPr>
          <w:trHeight w:val="180"/>
        </w:trPr>
        <w:tc>
          <w:tcPr>
            <w:tcW w:w="3120" w:type="dxa"/>
            <w:tcBorders>
              <w:top w:val="single" w:sz="6" w:space="0" w:color="000000" w:themeColor="text1"/>
              <w:left w:val="single" w:sz="12"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30B8F1FA" w14:textId="66B77F5D" w:rsidR="436E9498" w:rsidRDefault="436E9498" w:rsidP="436E9498">
            <w:r w:rsidRPr="436E9498">
              <w:rPr>
                <w:rFonts w:ascii="Calibri" w:eastAsia="Calibri" w:hAnsi="Calibri" w:cs="Calibri"/>
                <w:color w:val="000000" w:themeColor="text1"/>
              </w:rPr>
              <w:t>Deaths  with palliative care code Z515</w:t>
            </w:r>
          </w:p>
        </w:tc>
        <w:tc>
          <w:tcPr>
            <w:tcW w:w="18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07E1C197" w14:textId="5C847585" w:rsidR="436E9498" w:rsidRDefault="436E9498" w:rsidP="436E9498">
            <w:r w:rsidRPr="436E9498">
              <w:rPr>
                <w:rFonts w:ascii="Calibri" w:eastAsia="Calibri" w:hAnsi="Calibri" w:cs="Calibri"/>
                <w:color w:val="000000" w:themeColor="text1"/>
              </w:rPr>
              <w:t>R12M to Aug-23</w:t>
            </w:r>
          </w:p>
        </w:tc>
        <w:tc>
          <w:tcPr>
            <w:tcW w:w="101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31DF6436" w14:textId="47666C87" w:rsidR="436E9498" w:rsidRDefault="436E9498" w:rsidP="436E9498">
            <w:r w:rsidRPr="436E9498">
              <w:rPr>
                <w:rFonts w:ascii="Calibri" w:eastAsia="Calibri" w:hAnsi="Calibri" w:cs="Calibri"/>
                <w:color w:val="000000" w:themeColor="text1"/>
                <w:sz w:val="16"/>
                <w:szCs w:val="16"/>
              </w:rPr>
              <w:t>46.76%</w:t>
            </w:r>
          </w:p>
        </w:tc>
        <w:tc>
          <w:tcPr>
            <w:tcW w:w="101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129B876A" w14:textId="40DE52A7" w:rsidR="436E9498" w:rsidRDefault="436E9498" w:rsidP="436E9498">
            <w:r w:rsidRPr="436E9498">
              <w:rPr>
                <w:rFonts w:ascii="Calibri" w:eastAsia="Calibri" w:hAnsi="Calibri" w:cs="Calibri"/>
                <w:color w:val="000000" w:themeColor="text1"/>
                <w:sz w:val="16"/>
                <w:szCs w:val="16"/>
              </w:rPr>
              <w:t>46.2%</w:t>
            </w:r>
          </w:p>
        </w:tc>
        <w:tc>
          <w:tcPr>
            <w:tcW w:w="101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6D13CFD7" w14:textId="15866EC5" w:rsidR="436E9498" w:rsidRDefault="436E9498" w:rsidP="436E9498">
            <w:r w:rsidRPr="436E9498">
              <w:rPr>
                <w:rFonts w:ascii="Calibri" w:eastAsia="Calibri" w:hAnsi="Calibri" w:cs="Calibri"/>
                <w:color w:val="000000" w:themeColor="text1"/>
                <w:sz w:val="16"/>
                <w:szCs w:val="16"/>
              </w:rPr>
              <w:t>41.2%</w:t>
            </w:r>
          </w:p>
        </w:tc>
        <w:tc>
          <w:tcPr>
            <w:tcW w:w="101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70A9F3EB" w14:textId="23961250" w:rsidR="436E9498" w:rsidRDefault="436E9498" w:rsidP="436E9498">
            <w:r w:rsidRPr="436E9498">
              <w:rPr>
                <w:rFonts w:ascii="Calibri" w:eastAsia="Calibri" w:hAnsi="Calibri" w:cs="Calibri"/>
                <w:color w:val="000000" w:themeColor="text1"/>
                <w:sz w:val="16"/>
                <w:szCs w:val="16"/>
              </w:rPr>
              <w:t>5.0%</w:t>
            </w:r>
          </w:p>
        </w:tc>
        <w:tc>
          <w:tcPr>
            <w:tcW w:w="1683" w:type="dxa"/>
            <w:tcBorders>
              <w:top w:val="single" w:sz="6" w:space="0" w:color="000000" w:themeColor="text1"/>
              <w:left w:val="single" w:sz="6" w:space="0" w:color="000000" w:themeColor="text1"/>
              <w:bottom w:val="single" w:sz="6" w:space="0" w:color="000000" w:themeColor="text1"/>
              <w:right w:val="single" w:sz="12" w:space="0" w:color="000000" w:themeColor="text1"/>
            </w:tcBorders>
            <w:tcMar>
              <w:left w:w="30" w:type="dxa"/>
              <w:bottom w:w="30" w:type="dxa"/>
              <w:right w:w="30" w:type="dxa"/>
            </w:tcMar>
            <w:vAlign w:val="bottom"/>
          </w:tcPr>
          <w:p w14:paraId="136BFE9E" w14:textId="3772C47B" w:rsidR="436E9498" w:rsidRDefault="436E9498" w:rsidP="436E9498">
            <w:r w:rsidRPr="436E9498">
              <w:rPr>
                <w:rFonts w:ascii="Calibri" w:eastAsia="Calibri" w:hAnsi="Calibri" w:cs="Calibri"/>
                <w:color w:val="000000" w:themeColor="text1"/>
                <w:sz w:val="16"/>
                <w:szCs w:val="16"/>
              </w:rPr>
              <w:t>Mid range'</w:t>
            </w:r>
          </w:p>
        </w:tc>
      </w:tr>
      <w:tr w:rsidR="436E9498" w14:paraId="5F176A68" w14:textId="77777777" w:rsidTr="436E9498">
        <w:trPr>
          <w:trHeight w:val="195"/>
        </w:trPr>
        <w:tc>
          <w:tcPr>
            <w:tcW w:w="3120" w:type="dxa"/>
            <w:tcBorders>
              <w:top w:val="single" w:sz="6" w:space="0" w:color="000000" w:themeColor="text1"/>
              <w:left w:val="single" w:sz="12"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405519BA" w14:textId="7D2B2467" w:rsidR="436E9498" w:rsidRDefault="436E9498" w:rsidP="436E9498">
            <w:r w:rsidRPr="436E9498">
              <w:rPr>
                <w:rFonts w:ascii="Calibri" w:eastAsia="Calibri" w:hAnsi="Calibri" w:cs="Calibri"/>
                <w:color w:val="000000" w:themeColor="text1"/>
              </w:rPr>
              <w:t>Average Diagnoses per FCE</w:t>
            </w:r>
          </w:p>
        </w:tc>
        <w:tc>
          <w:tcPr>
            <w:tcW w:w="18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25FB1174" w14:textId="4D7E2FAC" w:rsidR="436E9498" w:rsidRDefault="436E9498" w:rsidP="436E9498">
            <w:r w:rsidRPr="436E9498">
              <w:rPr>
                <w:rFonts w:ascii="Calibri" w:eastAsia="Calibri" w:hAnsi="Calibri" w:cs="Calibri"/>
                <w:color w:val="000000" w:themeColor="text1"/>
              </w:rPr>
              <w:t>R12M to Aug-23</w:t>
            </w:r>
          </w:p>
        </w:tc>
        <w:tc>
          <w:tcPr>
            <w:tcW w:w="101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49BCE5B1" w14:textId="1263479C" w:rsidR="436E9498" w:rsidRDefault="436E9498" w:rsidP="436E9498">
            <w:r w:rsidRPr="436E9498">
              <w:rPr>
                <w:rFonts w:ascii="Calibri" w:eastAsia="Calibri" w:hAnsi="Calibri" w:cs="Calibri"/>
                <w:color w:val="000000" w:themeColor="text1"/>
                <w:sz w:val="16"/>
                <w:szCs w:val="16"/>
              </w:rPr>
              <w:t>7.3</w:t>
            </w:r>
          </w:p>
        </w:tc>
        <w:tc>
          <w:tcPr>
            <w:tcW w:w="101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24880650" w14:textId="5DD34A66" w:rsidR="436E9498" w:rsidRDefault="436E9498" w:rsidP="436E9498">
            <w:r w:rsidRPr="436E9498">
              <w:rPr>
                <w:rFonts w:ascii="Calibri" w:eastAsia="Calibri" w:hAnsi="Calibri" w:cs="Calibri"/>
                <w:color w:val="000000" w:themeColor="text1"/>
                <w:sz w:val="16"/>
                <w:szCs w:val="16"/>
              </w:rPr>
              <w:t>7.3</w:t>
            </w:r>
          </w:p>
        </w:tc>
        <w:tc>
          <w:tcPr>
            <w:tcW w:w="101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2ACC4029" w14:textId="44377062" w:rsidR="436E9498" w:rsidRDefault="436E9498" w:rsidP="436E9498">
            <w:r w:rsidRPr="436E9498">
              <w:rPr>
                <w:rFonts w:ascii="Calibri" w:eastAsia="Calibri" w:hAnsi="Calibri" w:cs="Calibri"/>
                <w:color w:val="000000" w:themeColor="text1"/>
                <w:sz w:val="16"/>
                <w:szCs w:val="16"/>
              </w:rPr>
              <w:t>6.9</w:t>
            </w:r>
          </w:p>
        </w:tc>
        <w:tc>
          <w:tcPr>
            <w:tcW w:w="101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074EE46E" w14:textId="44308ED8" w:rsidR="436E9498" w:rsidRDefault="436E9498" w:rsidP="436E9498">
            <w:r w:rsidRPr="436E9498">
              <w:rPr>
                <w:rFonts w:ascii="Calibri" w:eastAsia="Calibri" w:hAnsi="Calibri" w:cs="Calibri"/>
                <w:color w:val="000000" w:themeColor="text1"/>
                <w:sz w:val="16"/>
                <w:szCs w:val="16"/>
              </w:rPr>
              <w:t>0.4</w:t>
            </w:r>
          </w:p>
        </w:tc>
        <w:tc>
          <w:tcPr>
            <w:tcW w:w="1683" w:type="dxa"/>
            <w:tcBorders>
              <w:top w:val="single" w:sz="6" w:space="0" w:color="000000" w:themeColor="text1"/>
              <w:left w:val="single" w:sz="6" w:space="0" w:color="000000" w:themeColor="text1"/>
              <w:bottom w:val="single" w:sz="6" w:space="0" w:color="000000" w:themeColor="text1"/>
              <w:right w:val="single" w:sz="12" w:space="0" w:color="000000" w:themeColor="text1"/>
            </w:tcBorders>
            <w:tcMar>
              <w:left w:w="30" w:type="dxa"/>
              <w:bottom w:w="30" w:type="dxa"/>
              <w:right w:w="30" w:type="dxa"/>
            </w:tcMar>
            <w:vAlign w:val="bottom"/>
          </w:tcPr>
          <w:p w14:paraId="597B4D83" w14:textId="7166C57C" w:rsidR="436E9498" w:rsidRDefault="436E9498" w:rsidP="436E9498">
            <w:r w:rsidRPr="436E9498">
              <w:rPr>
                <w:rFonts w:ascii="Calibri" w:eastAsia="Calibri" w:hAnsi="Calibri" w:cs="Calibri"/>
                <w:color w:val="000000" w:themeColor="text1"/>
                <w:sz w:val="16"/>
                <w:szCs w:val="16"/>
              </w:rPr>
              <w:t>Mid range'</w:t>
            </w:r>
          </w:p>
        </w:tc>
      </w:tr>
      <w:tr w:rsidR="436E9498" w14:paraId="25F5FDFF" w14:textId="77777777" w:rsidTr="436E9498">
        <w:trPr>
          <w:trHeight w:val="180"/>
        </w:trPr>
        <w:tc>
          <w:tcPr>
            <w:tcW w:w="3120" w:type="dxa"/>
            <w:tcBorders>
              <w:top w:val="single" w:sz="6" w:space="0" w:color="000000" w:themeColor="text1"/>
              <w:left w:val="single" w:sz="12"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38CF8F7A" w14:textId="5CC57D08" w:rsidR="436E9498" w:rsidRDefault="436E9498" w:rsidP="436E9498">
            <w:r w:rsidRPr="436E9498">
              <w:rPr>
                <w:rFonts w:ascii="Calibri" w:eastAsia="Calibri" w:hAnsi="Calibri" w:cs="Calibri"/>
                <w:color w:val="000000" w:themeColor="text1"/>
              </w:rPr>
              <w:t>Sign or symptom as a primary diagnosis</w:t>
            </w:r>
          </w:p>
        </w:tc>
        <w:tc>
          <w:tcPr>
            <w:tcW w:w="18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657E2172" w14:textId="7F8F124A" w:rsidR="436E9498" w:rsidRDefault="436E9498" w:rsidP="436E9498">
            <w:r w:rsidRPr="436E9498">
              <w:rPr>
                <w:rFonts w:ascii="Calibri" w:eastAsia="Calibri" w:hAnsi="Calibri" w:cs="Calibri"/>
                <w:color w:val="000000" w:themeColor="text1"/>
              </w:rPr>
              <w:t>R12M to Aug-23</w:t>
            </w:r>
          </w:p>
        </w:tc>
        <w:tc>
          <w:tcPr>
            <w:tcW w:w="101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0069BAA5" w14:textId="489632F0" w:rsidR="436E9498" w:rsidRDefault="436E9498" w:rsidP="436E9498">
            <w:r w:rsidRPr="436E9498">
              <w:rPr>
                <w:rFonts w:ascii="Calibri" w:eastAsia="Calibri" w:hAnsi="Calibri" w:cs="Calibri"/>
                <w:color w:val="000000" w:themeColor="text1"/>
                <w:sz w:val="16"/>
                <w:szCs w:val="16"/>
              </w:rPr>
              <w:t>11%</w:t>
            </w:r>
          </w:p>
        </w:tc>
        <w:tc>
          <w:tcPr>
            <w:tcW w:w="101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616C7BE4" w14:textId="4FEB9C72" w:rsidR="436E9498" w:rsidRDefault="436E9498" w:rsidP="436E9498">
            <w:r w:rsidRPr="436E9498">
              <w:rPr>
                <w:rFonts w:ascii="Calibri" w:eastAsia="Calibri" w:hAnsi="Calibri" w:cs="Calibri"/>
                <w:color w:val="000000" w:themeColor="text1"/>
                <w:sz w:val="16"/>
                <w:szCs w:val="16"/>
              </w:rPr>
              <w:t>10.7%</w:t>
            </w:r>
          </w:p>
        </w:tc>
        <w:tc>
          <w:tcPr>
            <w:tcW w:w="101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326E414F" w14:textId="0ACC8597" w:rsidR="436E9498" w:rsidRDefault="436E9498" w:rsidP="436E9498">
            <w:r w:rsidRPr="436E9498">
              <w:rPr>
                <w:rFonts w:ascii="Calibri" w:eastAsia="Calibri" w:hAnsi="Calibri" w:cs="Calibri"/>
                <w:color w:val="000000" w:themeColor="text1"/>
                <w:sz w:val="16"/>
                <w:szCs w:val="16"/>
              </w:rPr>
              <w:t>9.1%</w:t>
            </w:r>
          </w:p>
        </w:tc>
        <w:tc>
          <w:tcPr>
            <w:tcW w:w="101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0A5ADB0B" w14:textId="45407874" w:rsidR="436E9498" w:rsidRDefault="436E9498" w:rsidP="436E9498">
            <w:r w:rsidRPr="436E9498">
              <w:rPr>
                <w:rFonts w:ascii="Calibri" w:eastAsia="Calibri" w:hAnsi="Calibri" w:cs="Calibri"/>
                <w:color w:val="000000" w:themeColor="text1"/>
                <w:sz w:val="16"/>
                <w:szCs w:val="16"/>
              </w:rPr>
              <w:t>1.6%</w:t>
            </w:r>
          </w:p>
        </w:tc>
        <w:tc>
          <w:tcPr>
            <w:tcW w:w="1683" w:type="dxa"/>
            <w:tcBorders>
              <w:top w:val="single" w:sz="6" w:space="0" w:color="000000" w:themeColor="text1"/>
              <w:left w:val="single" w:sz="6" w:space="0" w:color="000000" w:themeColor="text1"/>
              <w:bottom w:val="single" w:sz="6" w:space="0" w:color="000000" w:themeColor="text1"/>
              <w:right w:val="single" w:sz="12" w:space="0" w:color="000000" w:themeColor="text1"/>
            </w:tcBorders>
            <w:tcMar>
              <w:left w:w="30" w:type="dxa"/>
              <w:bottom w:w="30" w:type="dxa"/>
              <w:right w:w="30" w:type="dxa"/>
            </w:tcMar>
            <w:vAlign w:val="bottom"/>
          </w:tcPr>
          <w:p w14:paraId="13873E82" w14:textId="206319F5" w:rsidR="436E9498" w:rsidRDefault="436E9498" w:rsidP="436E9498">
            <w:r w:rsidRPr="436E9498">
              <w:rPr>
                <w:rFonts w:ascii="Calibri" w:eastAsia="Calibri" w:hAnsi="Calibri" w:cs="Calibri"/>
                <w:color w:val="000000" w:themeColor="text1"/>
                <w:sz w:val="16"/>
                <w:szCs w:val="16"/>
              </w:rPr>
              <w:t>Mid range'</w:t>
            </w:r>
          </w:p>
        </w:tc>
      </w:tr>
      <w:tr w:rsidR="436E9498" w14:paraId="0C1E282C" w14:textId="77777777" w:rsidTr="436E9498">
        <w:trPr>
          <w:trHeight w:val="195"/>
        </w:trPr>
        <w:tc>
          <w:tcPr>
            <w:tcW w:w="3120" w:type="dxa"/>
            <w:tcBorders>
              <w:top w:val="single" w:sz="6" w:space="0" w:color="000000" w:themeColor="text1"/>
              <w:left w:val="single" w:sz="12"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41FF100D" w14:textId="35682C17" w:rsidR="436E9498" w:rsidRDefault="436E9498" w:rsidP="436E9498">
            <w:r w:rsidRPr="436E9498">
              <w:rPr>
                <w:rFonts w:ascii="Calibri" w:eastAsia="Calibri" w:hAnsi="Calibri" w:cs="Calibri"/>
                <w:color w:val="000000" w:themeColor="text1"/>
              </w:rPr>
              <w:t>% 0 Length of Stay Admissions via A&amp;E</w:t>
            </w:r>
          </w:p>
        </w:tc>
        <w:tc>
          <w:tcPr>
            <w:tcW w:w="18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469C7033" w14:textId="0EDEAB54" w:rsidR="436E9498" w:rsidRDefault="436E9498" w:rsidP="436E9498">
            <w:r w:rsidRPr="436E9498">
              <w:rPr>
                <w:rFonts w:ascii="Calibri" w:eastAsia="Calibri" w:hAnsi="Calibri" w:cs="Calibri"/>
                <w:color w:val="000000" w:themeColor="text1"/>
              </w:rPr>
              <w:t>R12M to Aug-23</w:t>
            </w:r>
          </w:p>
        </w:tc>
        <w:tc>
          <w:tcPr>
            <w:tcW w:w="101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45A98BB2" w14:textId="76B02464" w:rsidR="436E9498" w:rsidRDefault="436E9498" w:rsidP="436E9498">
            <w:r w:rsidRPr="436E9498">
              <w:rPr>
                <w:rFonts w:ascii="Calibri" w:eastAsia="Calibri" w:hAnsi="Calibri" w:cs="Calibri"/>
                <w:color w:val="000000" w:themeColor="text1"/>
                <w:sz w:val="16"/>
                <w:szCs w:val="16"/>
              </w:rPr>
              <w:t>39.19%</w:t>
            </w:r>
          </w:p>
        </w:tc>
        <w:tc>
          <w:tcPr>
            <w:tcW w:w="101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2CA51FB1" w14:textId="1EADE0E6" w:rsidR="436E9498" w:rsidRDefault="436E9498" w:rsidP="436E9498">
            <w:r w:rsidRPr="436E9498">
              <w:rPr>
                <w:rFonts w:ascii="Calibri" w:eastAsia="Calibri" w:hAnsi="Calibri" w:cs="Calibri"/>
                <w:color w:val="000000" w:themeColor="text1"/>
                <w:sz w:val="16"/>
                <w:szCs w:val="16"/>
              </w:rPr>
              <w:t>41.4%</w:t>
            </w:r>
          </w:p>
        </w:tc>
        <w:tc>
          <w:tcPr>
            <w:tcW w:w="101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37088E92" w14:textId="3D7D177D" w:rsidR="436E9498" w:rsidRDefault="436E9498" w:rsidP="436E9498">
            <w:r w:rsidRPr="436E9498">
              <w:rPr>
                <w:rFonts w:ascii="Calibri" w:eastAsia="Calibri" w:hAnsi="Calibri" w:cs="Calibri"/>
                <w:color w:val="000000" w:themeColor="text1"/>
                <w:sz w:val="16"/>
                <w:szCs w:val="16"/>
              </w:rPr>
              <w:t>31.4%</w:t>
            </w:r>
          </w:p>
        </w:tc>
        <w:tc>
          <w:tcPr>
            <w:tcW w:w="101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12CA90FC" w14:textId="43BC4E94" w:rsidR="436E9498" w:rsidRDefault="436E9498" w:rsidP="436E9498">
            <w:r w:rsidRPr="436E9498">
              <w:rPr>
                <w:rFonts w:ascii="Calibri" w:eastAsia="Calibri" w:hAnsi="Calibri" w:cs="Calibri"/>
                <w:color w:val="000000" w:themeColor="text1"/>
                <w:sz w:val="16"/>
                <w:szCs w:val="16"/>
              </w:rPr>
              <w:t>10.0%</w:t>
            </w:r>
          </w:p>
        </w:tc>
        <w:tc>
          <w:tcPr>
            <w:tcW w:w="1683" w:type="dxa"/>
            <w:tcBorders>
              <w:top w:val="single" w:sz="6" w:space="0" w:color="000000" w:themeColor="text1"/>
              <w:left w:val="single" w:sz="6" w:space="0" w:color="000000" w:themeColor="text1"/>
              <w:bottom w:val="single" w:sz="6" w:space="0" w:color="000000" w:themeColor="text1"/>
              <w:right w:val="single" w:sz="12" w:space="0" w:color="000000" w:themeColor="text1"/>
            </w:tcBorders>
            <w:tcMar>
              <w:left w:w="30" w:type="dxa"/>
              <w:bottom w:w="30" w:type="dxa"/>
              <w:right w:w="30" w:type="dxa"/>
            </w:tcMar>
            <w:vAlign w:val="bottom"/>
          </w:tcPr>
          <w:p w14:paraId="70EBFED8" w14:textId="6E757E6D" w:rsidR="436E9498" w:rsidRDefault="436E9498" w:rsidP="436E9498">
            <w:r w:rsidRPr="436E9498">
              <w:rPr>
                <w:rFonts w:ascii="Calibri" w:eastAsia="Calibri" w:hAnsi="Calibri" w:cs="Calibri"/>
                <w:color w:val="000000" w:themeColor="text1"/>
                <w:sz w:val="16"/>
                <w:szCs w:val="16"/>
              </w:rPr>
              <w:t>'Fourth Quartile'</w:t>
            </w:r>
          </w:p>
        </w:tc>
      </w:tr>
      <w:tr w:rsidR="436E9498" w14:paraId="64F236EE" w14:textId="77777777" w:rsidTr="436E9498">
        <w:trPr>
          <w:trHeight w:val="180"/>
        </w:trPr>
        <w:tc>
          <w:tcPr>
            <w:tcW w:w="3120" w:type="dxa"/>
            <w:tcBorders>
              <w:top w:val="single" w:sz="6" w:space="0" w:color="000000" w:themeColor="text1"/>
              <w:left w:val="single" w:sz="12" w:space="0" w:color="000000" w:themeColor="text1"/>
              <w:bottom w:val="single" w:sz="12" w:space="0" w:color="000000" w:themeColor="text1"/>
              <w:right w:val="single" w:sz="6" w:space="0" w:color="000000" w:themeColor="text1"/>
            </w:tcBorders>
            <w:tcMar>
              <w:left w:w="30" w:type="dxa"/>
              <w:bottom w:w="30" w:type="dxa"/>
              <w:right w:w="30" w:type="dxa"/>
            </w:tcMar>
            <w:vAlign w:val="bottom"/>
          </w:tcPr>
          <w:p w14:paraId="1F81D339" w14:textId="2B9811B1" w:rsidR="436E9498" w:rsidRDefault="436E9498" w:rsidP="436E9498">
            <w:r w:rsidRPr="436E9498">
              <w:rPr>
                <w:rFonts w:ascii="Calibri" w:eastAsia="Calibri" w:hAnsi="Calibri" w:cs="Calibri"/>
                <w:color w:val="000000" w:themeColor="text1"/>
              </w:rPr>
              <w:t>Readmissions within 30 days</w:t>
            </w:r>
          </w:p>
        </w:tc>
        <w:tc>
          <w:tcPr>
            <w:tcW w:w="1828" w:type="dxa"/>
            <w:tcBorders>
              <w:top w:val="single" w:sz="6" w:space="0" w:color="000000" w:themeColor="text1"/>
              <w:left w:val="single" w:sz="6" w:space="0" w:color="000000" w:themeColor="text1"/>
              <w:bottom w:val="single" w:sz="12" w:space="0" w:color="000000" w:themeColor="text1"/>
              <w:right w:val="single" w:sz="6" w:space="0" w:color="000000" w:themeColor="text1"/>
            </w:tcBorders>
            <w:tcMar>
              <w:left w:w="30" w:type="dxa"/>
              <w:bottom w:w="30" w:type="dxa"/>
              <w:right w:w="30" w:type="dxa"/>
            </w:tcMar>
            <w:vAlign w:val="bottom"/>
          </w:tcPr>
          <w:p w14:paraId="0C013093" w14:textId="5B7C00F8" w:rsidR="436E9498" w:rsidRDefault="436E9498" w:rsidP="436E9498">
            <w:r w:rsidRPr="436E9498">
              <w:rPr>
                <w:rFonts w:ascii="Calibri" w:eastAsia="Calibri" w:hAnsi="Calibri" w:cs="Calibri"/>
                <w:color w:val="000000" w:themeColor="text1"/>
              </w:rPr>
              <w:t>R12M to Aug-23</w:t>
            </w:r>
          </w:p>
        </w:tc>
        <w:tc>
          <w:tcPr>
            <w:tcW w:w="1012" w:type="dxa"/>
            <w:tcBorders>
              <w:top w:val="single" w:sz="6" w:space="0" w:color="000000" w:themeColor="text1"/>
              <w:left w:val="single" w:sz="6" w:space="0" w:color="000000" w:themeColor="text1"/>
              <w:bottom w:val="single" w:sz="12" w:space="0" w:color="000000" w:themeColor="text1"/>
              <w:right w:val="single" w:sz="6" w:space="0" w:color="000000" w:themeColor="text1"/>
            </w:tcBorders>
            <w:tcMar>
              <w:left w:w="30" w:type="dxa"/>
              <w:bottom w:w="30" w:type="dxa"/>
              <w:right w:w="30" w:type="dxa"/>
            </w:tcMar>
            <w:vAlign w:val="bottom"/>
          </w:tcPr>
          <w:p w14:paraId="539196E6" w14:textId="24DE8EEF" w:rsidR="436E9498" w:rsidRDefault="436E9498" w:rsidP="436E9498">
            <w:r w:rsidRPr="436E9498">
              <w:rPr>
                <w:rFonts w:ascii="Calibri" w:eastAsia="Calibri" w:hAnsi="Calibri" w:cs="Calibri"/>
                <w:color w:val="000000" w:themeColor="text1"/>
                <w:sz w:val="16"/>
                <w:szCs w:val="16"/>
              </w:rPr>
              <w:t>10.15%</w:t>
            </w:r>
          </w:p>
        </w:tc>
        <w:tc>
          <w:tcPr>
            <w:tcW w:w="1012" w:type="dxa"/>
            <w:tcBorders>
              <w:top w:val="single" w:sz="6" w:space="0" w:color="000000" w:themeColor="text1"/>
              <w:left w:val="single" w:sz="6" w:space="0" w:color="000000" w:themeColor="text1"/>
              <w:bottom w:val="single" w:sz="12" w:space="0" w:color="000000" w:themeColor="text1"/>
              <w:right w:val="single" w:sz="6" w:space="0" w:color="000000" w:themeColor="text1"/>
            </w:tcBorders>
            <w:tcMar>
              <w:left w:w="30" w:type="dxa"/>
              <w:bottom w:w="30" w:type="dxa"/>
              <w:right w:w="30" w:type="dxa"/>
            </w:tcMar>
            <w:vAlign w:val="bottom"/>
          </w:tcPr>
          <w:p w14:paraId="766FEA78" w14:textId="39DA4093" w:rsidR="436E9498" w:rsidRDefault="436E9498" w:rsidP="436E9498">
            <w:r w:rsidRPr="436E9498">
              <w:rPr>
                <w:rFonts w:ascii="Calibri" w:eastAsia="Calibri" w:hAnsi="Calibri" w:cs="Calibri"/>
                <w:color w:val="000000" w:themeColor="text1"/>
                <w:sz w:val="16"/>
                <w:szCs w:val="16"/>
              </w:rPr>
              <w:t>10.4%</w:t>
            </w:r>
          </w:p>
        </w:tc>
        <w:tc>
          <w:tcPr>
            <w:tcW w:w="1012" w:type="dxa"/>
            <w:tcBorders>
              <w:top w:val="single" w:sz="6" w:space="0" w:color="000000" w:themeColor="text1"/>
              <w:left w:val="single" w:sz="6" w:space="0" w:color="000000" w:themeColor="text1"/>
              <w:bottom w:val="single" w:sz="12" w:space="0" w:color="000000" w:themeColor="text1"/>
              <w:right w:val="single" w:sz="6" w:space="0" w:color="000000" w:themeColor="text1"/>
            </w:tcBorders>
            <w:tcMar>
              <w:left w:w="30" w:type="dxa"/>
              <w:bottom w:w="30" w:type="dxa"/>
              <w:right w:w="30" w:type="dxa"/>
            </w:tcMar>
            <w:vAlign w:val="bottom"/>
          </w:tcPr>
          <w:p w14:paraId="4366CE2B" w14:textId="2935F93B" w:rsidR="436E9498" w:rsidRDefault="436E9498" w:rsidP="436E9498">
            <w:r w:rsidRPr="436E9498">
              <w:rPr>
                <w:rFonts w:ascii="Calibri" w:eastAsia="Calibri" w:hAnsi="Calibri" w:cs="Calibri"/>
                <w:color w:val="000000" w:themeColor="text1"/>
                <w:sz w:val="16"/>
                <w:szCs w:val="16"/>
              </w:rPr>
              <w:t>8.4%</w:t>
            </w:r>
          </w:p>
        </w:tc>
        <w:tc>
          <w:tcPr>
            <w:tcW w:w="1012" w:type="dxa"/>
            <w:tcBorders>
              <w:top w:val="single" w:sz="6" w:space="0" w:color="000000" w:themeColor="text1"/>
              <w:left w:val="single" w:sz="6" w:space="0" w:color="000000" w:themeColor="text1"/>
              <w:bottom w:val="single" w:sz="12" w:space="0" w:color="000000" w:themeColor="text1"/>
              <w:right w:val="single" w:sz="6" w:space="0" w:color="000000" w:themeColor="text1"/>
            </w:tcBorders>
            <w:tcMar>
              <w:left w:w="30" w:type="dxa"/>
              <w:bottom w:w="30" w:type="dxa"/>
              <w:right w:w="30" w:type="dxa"/>
            </w:tcMar>
            <w:vAlign w:val="bottom"/>
          </w:tcPr>
          <w:p w14:paraId="1826838B" w14:textId="56C59923" w:rsidR="436E9498" w:rsidRDefault="436E9498" w:rsidP="436E9498">
            <w:r w:rsidRPr="436E9498">
              <w:rPr>
                <w:rFonts w:ascii="Calibri" w:eastAsia="Calibri" w:hAnsi="Calibri" w:cs="Calibri"/>
                <w:color w:val="000000" w:themeColor="text1"/>
                <w:sz w:val="16"/>
                <w:szCs w:val="16"/>
              </w:rPr>
              <w:t>2.0%</w:t>
            </w:r>
          </w:p>
        </w:tc>
        <w:tc>
          <w:tcPr>
            <w:tcW w:w="1683" w:type="dxa"/>
            <w:tcBorders>
              <w:top w:val="single" w:sz="6" w:space="0" w:color="000000" w:themeColor="text1"/>
              <w:left w:val="single" w:sz="6" w:space="0" w:color="000000" w:themeColor="text1"/>
              <w:bottom w:val="single" w:sz="12" w:space="0" w:color="000000" w:themeColor="text1"/>
              <w:right w:val="single" w:sz="12" w:space="0" w:color="000000" w:themeColor="text1"/>
            </w:tcBorders>
            <w:tcMar>
              <w:left w:w="30" w:type="dxa"/>
              <w:bottom w:w="30" w:type="dxa"/>
              <w:right w:w="30" w:type="dxa"/>
            </w:tcMar>
            <w:vAlign w:val="bottom"/>
          </w:tcPr>
          <w:p w14:paraId="7623D83A" w14:textId="3BE8C68E" w:rsidR="436E9498" w:rsidRDefault="436E9498" w:rsidP="436E9498">
            <w:r w:rsidRPr="436E9498">
              <w:rPr>
                <w:rFonts w:ascii="Calibri" w:eastAsia="Calibri" w:hAnsi="Calibri" w:cs="Calibri"/>
                <w:color w:val="000000" w:themeColor="text1"/>
                <w:sz w:val="16"/>
                <w:szCs w:val="16"/>
              </w:rPr>
              <w:t>'Fourth Quartile'</w:t>
            </w:r>
          </w:p>
        </w:tc>
      </w:tr>
    </w:tbl>
    <w:p w14:paraId="65F9C3DC" w14:textId="7C0A13A5" w:rsidR="00E7079D" w:rsidRDefault="00E7079D" w:rsidP="436E9498">
      <w:pPr>
        <w:pStyle w:val="BodyA"/>
        <w:widowControl w:val="0"/>
      </w:pPr>
    </w:p>
    <w:p w14:paraId="56E581F2" w14:textId="59E3AF13" w:rsidR="436E9498" w:rsidRDefault="436E9498" w:rsidP="436E9498">
      <w:pPr>
        <w:pStyle w:val="BodyA"/>
        <w:widowControl w:val="0"/>
      </w:pPr>
    </w:p>
    <w:p w14:paraId="20FB60E5" w14:textId="14EE4A84" w:rsidR="436E9498" w:rsidRDefault="436E9498" w:rsidP="436E9498">
      <w:pPr>
        <w:pStyle w:val="BodyA"/>
        <w:widowControl w:val="0"/>
      </w:pPr>
    </w:p>
    <w:p w14:paraId="5023141B" w14:textId="77777777" w:rsidR="00E7079D" w:rsidRDefault="00E7079D">
      <w:pPr>
        <w:pStyle w:val="BodyA"/>
        <w:spacing w:after="200" w:line="276" w:lineRule="auto"/>
        <w:jc w:val="both"/>
      </w:pPr>
    </w:p>
    <w:p w14:paraId="1DA6542E" w14:textId="77777777" w:rsidR="00E7079D" w:rsidRDefault="00E7079D">
      <w:pPr>
        <w:pStyle w:val="BodyA"/>
        <w:widowControl w:val="0"/>
        <w:spacing w:after="200"/>
        <w:jc w:val="both"/>
      </w:pPr>
    </w:p>
    <w:p w14:paraId="3041E394" w14:textId="77777777" w:rsidR="00E7079D" w:rsidRDefault="00E7079D">
      <w:pPr>
        <w:pStyle w:val="BodyA"/>
        <w:spacing w:after="200" w:line="276" w:lineRule="auto"/>
        <w:jc w:val="both"/>
        <w:rPr>
          <w:b/>
          <w:bCs/>
        </w:rPr>
      </w:pPr>
    </w:p>
    <w:p w14:paraId="722B00AE" w14:textId="77777777" w:rsidR="00E7079D" w:rsidRDefault="00E7079D">
      <w:pPr>
        <w:pStyle w:val="BodyA"/>
        <w:spacing w:after="200" w:line="276" w:lineRule="auto"/>
        <w:jc w:val="both"/>
        <w:rPr>
          <w:b/>
          <w:bCs/>
          <w:sz w:val="24"/>
          <w:szCs w:val="24"/>
        </w:rPr>
      </w:pPr>
    </w:p>
    <w:p w14:paraId="42C6D796" w14:textId="77777777" w:rsidR="00E7079D" w:rsidRDefault="00E7079D">
      <w:pPr>
        <w:pStyle w:val="BodyA"/>
        <w:spacing w:after="200" w:line="276" w:lineRule="auto"/>
        <w:jc w:val="both"/>
        <w:rPr>
          <w:b/>
          <w:bCs/>
          <w:sz w:val="24"/>
          <w:szCs w:val="24"/>
        </w:rPr>
      </w:pPr>
    </w:p>
    <w:p w14:paraId="6E1831B3" w14:textId="77777777" w:rsidR="00E7079D" w:rsidRDefault="00E7079D">
      <w:pPr>
        <w:pStyle w:val="BodyA"/>
        <w:spacing w:after="200" w:line="276" w:lineRule="auto"/>
        <w:jc w:val="both"/>
        <w:rPr>
          <w:b/>
          <w:bCs/>
          <w:sz w:val="24"/>
          <w:szCs w:val="24"/>
        </w:rPr>
      </w:pPr>
    </w:p>
    <w:p w14:paraId="54E11D2A" w14:textId="77777777" w:rsidR="00E7079D" w:rsidRDefault="00E7079D">
      <w:pPr>
        <w:pStyle w:val="BodyA"/>
        <w:spacing w:after="200" w:line="276" w:lineRule="auto"/>
        <w:jc w:val="both"/>
        <w:rPr>
          <w:b/>
          <w:bCs/>
          <w:sz w:val="24"/>
          <w:szCs w:val="24"/>
        </w:rPr>
      </w:pPr>
    </w:p>
    <w:p w14:paraId="31126E5D" w14:textId="77777777" w:rsidR="00E7079D" w:rsidRDefault="00E7079D">
      <w:pPr>
        <w:pStyle w:val="BodyA"/>
        <w:spacing w:after="200" w:line="276" w:lineRule="auto"/>
        <w:jc w:val="both"/>
        <w:rPr>
          <w:b/>
          <w:bCs/>
          <w:sz w:val="24"/>
          <w:szCs w:val="24"/>
        </w:rPr>
      </w:pPr>
    </w:p>
    <w:p w14:paraId="2DE403A5" w14:textId="77777777" w:rsidR="00E7079D" w:rsidRDefault="00AB3E57">
      <w:pPr>
        <w:pStyle w:val="Body"/>
      </w:pPr>
      <w:r>
        <w:rPr>
          <w:rStyle w:val="Strong"/>
          <w:rFonts w:ascii="Arial Unicode MS" w:eastAsia="Arial Unicode MS" w:hAnsi="Arial Unicode MS" w:cs="Arial Unicode MS"/>
          <w:b w:val="0"/>
          <w:bCs w:val="0"/>
        </w:rPr>
        <w:br w:type="page"/>
      </w:r>
    </w:p>
    <w:p w14:paraId="40C908B9" w14:textId="77777777" w:rsidR="00E7079D" w:rsidRDefault="00AB3E57">
      <w:pPr>
        <w:pStyle w:val="BodyA"/>
        <w:spacing w:after="200" w:line="276" w:lineRule="auto"/>
        <w:jc w:val="both"/>
        <w:rPr>
          <w:b/>
          <w:bCs/>
          <w:sz w:val="24"/>
          <w:szCs w:val="24"/>
        </w:rPr>
      </w:pPr>
      <w:r>
        <w:rPr>
          <w:b/>
          <w:bCs/>
          <w:sz w:val="24"/>
          <w:szCs w:val="24"/>
        </w:rPr>
        <w:lastRenderedPageBreak/>
        <w:t>Appendix 2b</w:t>
      </w:r>
    </w:p>
    <w:p w14:paraId="62431CDC" w14:textId="7245ECC8" w:rsidR="00E7079D" w:rsidRDefault="436E9498" w:rsidP="436E9498">
      <w:pPr>
        <w:pStyle w:val="BodyA"/>
        <w:widowControl w:val="0"/>
        <w:spacing w:after="200" w:line="276" w:lineRule="auto"/>
        <w:jc w:val="both"/>
        <w:rPr>
          <w:b/>
          <w:bCs/>
          <w:sz w:val="24"/>
          <w:szCs w:val="24"/>
        </w:rPr>
      </w:pPr>
      <w:r w:rsidRPr="436E9498">
        <w:rPr>
          <w:b/>
          <w:bCs/>
          <w:sz w:val="24"/>
          <w:szCs w:val="24"/>
        </w:rPr>
        <w:t>HSMR</w:t>
      </w:r>
    </w:p>
    <w:tbl>
      <w:tblPr>
        <w:tblW w:w="0" w:type="auto"/>
        <w:tblLayout w:type="fixed"/>
        <w:tblLook w:val="06A0" w:firstRow="1" w:lastRow="0" w:firstColumn="1" w:lastColumn="0" w:noHBand="1" w:noVBand="1"/>
      </w:tblPr>
      <w:tblGrid>
        <w:gridCol w:w="3065"/>
        <w:gridCol w:w="635"/>
        <w:gridCol w:w="635"/>
        <w:gridCol w:w="635"/>
        <w:gridCol w:w="635"/>
        <w:gridCol w:w="635"/>
        <w:gridCol w:w="635"/>
        <w:gridCol w:w="635"/>
        <w:gridCol w:w="635"/>
        <w:gridCol w:w="635"/>
        <w:gridCol w:w="635"/>
        <w:gridCol w:w="635"/>
        <w:gridCol w:w="635"/>
      </w:tblGrid>
      <w:tr w:rsidR="436E9498" w14:paraId="1DFCD799" w14:textId="77777777" w:rsidTr="436E9498">
        <w:trPr>
          <w:trHeight w:val="180"/>
        </w:trPr>
        <w:tc>
          <w:tcPr>
            <w:tcW w:w="30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3EAF1"/>
            <w:tcMar>
              <w:left w:w="30" w:type="dxa"/>
              <w:bottom w:w="30" w:type="dxa"/>
              <w:right w:w="30" w:type="dxa"/>
            </w:tcMar>
            <w:vAlign w:val="bottom"/>
          </w:tcPr>
          <w:p w14:paraId="4EF8E062" w14:textId="68F88BDB" w:rsidR="436E9498" w:rsidRDefault="436E9498" w:rsidP="436E9498">
            <w:pPr>
              <w:rPr>
                <w:rFonts w:ascii="Calibri" w:eastAsia="Calibri" w:hAnsi="Calibri" w:cs="Calibri"/>
                <w:b/>
                <w:bCs/>
                <w:color w:val="000000" w:themeColor="text1"/>
                <w:sz w:val="20"/>
                <w:szCs w:val="20"/>
              </w:rPr>
            </w:pPr>
            <w:r w:rsidRPr="436E9498">
              <w:rPr>
                <w:rFonts w:ascii="Calibri" w:eastAsia="Calibri" w:hAnsi="Calibri" w:cs="Calibri"/>
                <w:b/>
                <w:bCs/>
                <w:color w:val="000000" w:themeColor="text1"/>
                <w:sz w:val="20"/>
                <w:szCs w:val="20"/>
              </w:rPr>
              <w:t>HSMR</w:t>
            </w:r>
          </w:p>
        </w:tc>
        <w:tc>
          <w:tcPr>
            <w:tcW w:w="6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3EAF1"/>
            <w:tcMar>
              <w:left w:w="30" w:type="dxa"/>
              <w:bottom w:w="30" w:type="dxa"/>
              <w:right w:w="30" w:type="dxa"/>
            </w:tcMar>
            <w:vAlign w:val="bottom"/>
          </w:tcPr>
          <w:p w14:paraId="0D721AC5" w14:textId="4121B4EF" w:rsidR="436E9498" w:rsidRDefault="436E9498" w:rsidP="436E9498">
            <w:pPr>
              <w:rPr>
                <w:rFonts w:ascii="Calibri" w:eastAsia="Calibri" w:hAnsi="Calibri" w:cs="Calibri"/>
                <w:b/>
                <w:bCs/>
                <w:color w:val="000000" w:themeColor="text1"/>
                <w:sz w:val="20"/>
                <w:szCs w:val="20"/>
              </w:rPr>
            </w:pPr>
            <w:r w:rsidRPr="436E9498">
              <w:rPr>
                <w:rFonts w:ascii="Calibri" w:eastAsia="Calibri" w:hAnsi="Calibri" w:cs="Calibri"/>
                <w:b/>
                <w:bCs/>
                <w:color w:val="000000" w:themeColor="text1"/>
                <w:sz w:val="20"/>
                <w:szCs w:val="20"/>
              </w:rPr>
              <w:t>Sep-22</w:t>
            </w:r>
          </w:p>
        </w:tc>
        <w:tc>
          <w:tcPr>
            <w:tcW w:w="6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3EAF1"/>
            <w:tcMar>
              <w:left w:w="30" w:type="dxa"/>
              <w:bottom w:w="30" w:type="dxa"/>
              <w:right w:w="30" w:type="dxa"/>
            </w:tcMar>
            <w:vAlign w:val="bottom"/>
          </w:tcPr>
          <w:p w14:paraId="5E5CC816" w14:textId="78CB7BEE" w:rsidR="436E9498" w:rsidRDefault="436E9498" w:rsidP="436E9498">
            <w:pPr>
              <w:rPr>
                <w:rFonts w:ascii="Calibri" w:eastAsia="Calibri" w:hAnsi="Calibri" w:cs="Calibri"/>
                <w:b/>
                <w:bCs/>
                <w:color w:val="000000" w:themeColor="text1"/>
                <w:sz w:val="20"/>
                <w:szCs w:val="20"/>
              </w:rPr>
            </w:pPr>
            <w:r w:rsidRPr="436E9498">
              <w:rPr>
                <w:rFonts w:ascii="Calibri" w:eastAsia="Calibri" w:hAnsi="Calibri" w:cs="Calibri"/>
                <w:b/>
                <w:bCs/>
                <w:color w:val="000000" w:themeColor="text1"/>
                <w:sz w:val="20"/>
                <w:szCs w:val="20"/>
              </w:rPr>
              <w:t>Oct-22</w:t>
            </w:r>
          </w:p>
        </w:tc>
        <w:tc>
          <w:tcPr>
            <w:tcW w:w="6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3EAF1"/>
            <w:tcMar>
              <w:left w:w="30" w:type="dxa"/>
              <w:bottom w:w="30" w:type="dxa"/>
              <w:right w:w="30" w:type="dxa"/>
            </w:tcMar>
            <w:vAlign w:val="bottom"/>
          </w:tcPr>
          <w:p w14:paraId="2AAAD37F" w14:textId="3F6BCD44" w:rsidR="436E9498" w:rsidRDefault="436E9498" w:rsidP="436E9498">
            <w:pPr>
              <w:rPr>
                <w:rFonts w:ascii="Calibri" w:eastAsia="Calibri" w:hAnsi="Calibri" w:cs="Calibri"/>
                <w:b/>
                <w:bCs/>
                <w:color w:val="000000" w:themeColor="text1"/>
                <w:sz w:val="20"/>
                <w:szCs w:val="20"/>
              </w:rPr>
            </w:pPr>
            <w:r w:rsidRPr="436E9498">
              <w:rPr>
                <w:rFonts w:ascii="Calibri" w:eastAsia="Calibri" w:hAnsi="Calibri" w:cs="Calibri"/>
                <w:b/>
                <w:bCs/>
                <w:color w:val="000000" w:themeColor="text1"/>
                <w:sz w:val="20"/>
                <w:szCs w:val="20"/>
              </w:rPr>
              <w:t>Nov-22</w:t>
            </w:r>
          </w:p>
        </w:tc>
        <w:tc>
          <w:tcPr>
            <w:tcW w:w="6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3EAF1"/>
            <w:tcMar>
              <w:left w:w="30" w:type="dxa"/>
              <w:bottom w:w="30" w:type="dxa"/>
              <w:right w:w="30" w:type="dxa"/>
            </w:tcMar>
            <w:vAlign w:val="bottom"/>
          </w:tcPr>
          <w:p w14:paraId="2B84693C" w14:textId="5F872FD8" w:rsidR="436E9498" w:rsidRDefault="436E9498" w:rsidP="436E9498">
            <w:pPr>
              <w:rPr>
                <w:rFonts w:ascii="Calibri" w:eastAsia="Calibri" w:hAnsi="Calibri" w:cs="Calibri"/>
                <w:b/>
                <w:bCs/>
                <w:color w:val="000000" w:themeColor="text1"/>
                <w:sz w:val="20"/>
                <w:szCs w:val="20"/>
              </w:rPr>
            </w:pPr>
            <w:r w:rsidRPr="436E9498">
              <w:rPr>
                <w:rFonts w:ascii="Calibri" w:eastAsia="Calibri" w:hAnsi="Calibri" w:cs="Calibri"/>
                <w:b/>
                <w:bCs/>
                <w:color w:val="000000" w:themeColor="text1"/>
                <w:sz w:val="20"/>
                <w:szCs w:val="20"/>
              </w:rPr>
              <w:t>Dec-22</w:t>
            </w:r>
          </w:p>
        </w:tc>
        <w:tc>
          <w:tcPr>
            <w:tcW w:w="6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3EAF1"/>
            <w:tcMar>
              <w:left w:w="30" w:type="dxa"/>
              <w:bottom w:w="30" w:type="dxa"/>
              <w:right w:w="30" w:type="dxa"/>
            </w:tcMar>
            <w:vAlign w:val="bottom"/>
          </w:tcPr>
          <w:p w14:paraId="41C29FA9" w14:textId="564EE6E2" w:rsidR="436E9498" w:rsidRDefault="436E9498" w:rsidP="436E9498">
            <w:pPr>
              <w:rPr>
                <w:rFonts w:ascii="Calibri" w:eastAsia="Calibri" w:hAnsi="Calibri" w:cs="Calibri"/>
                <w:b/>
                <w:bCs/>
                <w:color w:val="000000" w:themeColor="text1"/>
                <w:sz w:val="20"/>
                <w:szCs w:val="20"/>
              </w:rPr>
            </w:pPr>
            <w:r w:rsidRPr="436E9498">
              <w:rPr>
                <w:rFonts w:ascii="Calibri" w:eastAsia="Calibri" w:hAnsi="Calibri" w:cs="Calibri"/>
                <w:b/>
                <w:bCs/>
                <w:color w:val="000000" w:themeColor="text1"/>
                <w:sz w:val="20"/>
                <w:szCs w:val="20"/>
              </w:rPr>
              <w:t>Jan-23</w:t>
            </w:r>
          </w:p>
        </w:tc>
        <w:tc>
          <w:tcPr>
            <w:tcW w:w="6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3EAF1"/>
            <w:tcMar>
              <w:left w:w="30" w:type="dxa"/>
              <w:bottom w:w="30" w:type="dxa"/>
              <w:right w:w="30" w:type="dxa"/>
            </w:tcMar>
            <w:vAlign w:val="bottom"/>
          </w:tcPr>
          <w:p w14:paraId="3989F7B0" w14:textId="06352B13" w:rsidR="436E9498" w:rsidRDefault="436E9498" w:rsidP="436E9498">
            <w:pPr>
              <w:rPr>
                <w:rFonts w:ascii="Calibri" w:eastAsia="Calibri" w:hAnsi="Calibri" w:cs="Calibri"/>
                <w:b/>
                <w:bCs/>
                <w:color w:val="000000" w:themeColor="text1"/>
                <w:sz w:val="20"/>
                <w:szCs w:val="20"/>
              </w:rPr>
            </w:pPr>
            <w:r w:rsidRPr="436E9498">
              <w:rPr>
                <w:rFonts w:ascii="Calibri" w:eastAsia="Calibri" w:hAnsi="Calibri" w:cs="Calibri"/>
                <w:b/>
                <w:bCs/>
                <w:color w:val="000000" w:themeColor="text1"/>
                <w:sz w:val="20"/>
                <w:szCs w:val="20"/>
              </w:rPr>
              <w:t>Feb-23</w:t>
            </w:r>
          </w:p>
        </w:tc>
        <w:tc>
          <w:tcPr>
            <w:tcW w:w="6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3EAF1"/>
            <w:tcMar>
              <w:left w:w="30" w:type="dxa"/>
              <w:bottom w:w="30" w:type="dxa"/>
              <w:right w:w="30" w:type="dxa"/>
            </w:tcMar>
            <w:vAlign w:val="bottom"/>
          </w:tcPr>
          <w:p w14:paraId="09FC121A" w14:textId="2E17E9DD" w:rsidR="436E9498" w:rsidRDefault="436E9498" w:rsidP="436E9498">
            <w:pPr>
              <w:rPr>
                <w:rFonts w:ascii="Calibri" w:eastAsia="Calibri" w:hAnsi="Calibri" w:cs="Calibri"/>
                <w:b/>
                <w:bCs/>
                <w:color w:val="000000" w:themeColor="text1"/>
                <w:sz w:val="20"/>
                <w:szCs w:val="20"/>
              </w:rPr>
            </w:pPr>
            <w:r w:rsidRPr="436E9498">
              <w:rPr>
                <w:rFonts w:ascii="Calibri" w:eastAsia="Calibri" w:hAnsi="Calibri" w:cs="Calibri"/>
                <w:b/>
                <w:bCs/>
                <w:color w:val="000000" w:themeColor="text1"/>
                <w:sz w:val="20"/>
                <w:szCs w:val="20"/>
              </w:rPr>
              <w:t>Mar-23</w:t>
            </w:r>
          </w:p>
        </w:tc>
        <w:tc>
          <w:tcPr>
            <w:tcW w:w="6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3EAF1"/>
            <w:tcMar>
              <w:left w:w="30" w:type="dxa"/>
              <w:bottom w:w="30" w:type="dxa"/>
              <w:right w:w="30" w:type="dxa"/>
            </w:tcMar>
            <w:vAlign w:val="bottom"/>
          </w:tcPr>
          <w:p w14:paraId="0B9A1FD4" w14:textId="1D4BE14C" w:rsidR="436E9498" w:rsidRDefault="436E9498" w:rsidP="436E9498">
            <w:pPr>
              <w:rPr>
                <w:rFonts w:ascii="Calibri" w:eastAsia="Calibri" w:hAnsi="Calibri" w:cs="Calibri"/>
                <w:b/>
                <w:bCs/>
                <w:color w:val="000000" w:themeColor="text1"/>
                <w:sz w:val="20"/>
                <w:szCs w:val="20"/>
              </w:rPr>
            </w:pPr>
            <w:r w:rsidRPr="436E9498">
              <w:rPr>
                <w:rFonts w:ascii="Calibri" w:eastAsia="Calibri" w:hAnsi="Calibri" w:cs="Calibri"/>
                <w:b/>
                <w:bCs/>
                <w:color w:val="000000" w:themeColor="text1"/>
                <w:sz w:val="20"/>
                <w:szCs w:val="20"/>
              </w:rPr>
              <w:t>Apr-23</w:t>
            </w:r>
          </w:p>
        </w:tc>
        <w:tc>
          <w:tcPr>
            <w:tcW w:w="6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3EAF1"/>
            <w:tcMar>
              <w:left w:w="30" w:type="dxa"/>
              <w:bottom w:w="30" w:type="dxa"/>
              <w:right w:w="30" w:type="dxa"/>
            </w:tcMar>
            <w:vAlign w:val="bottom"/>
          </w:tcPr>
          <w:p w14:paraId="0C9C3432" w14:textId="7F8D381A" w:rsidR="436E9498" w:rsidRDefault="436E9498" w:rsidP="436E9498">
            <w:pPr>
              <w:rPr>
                <w:rFonts w:ascii="Calibri" w:eastAsia="Calibri" w:hAnsi="Calibri" w:cs="Calibri"/>
                <w:b/>
                <w:bCs/>
                <w:color w:val="000000" w:themeColor="text1"/>
                <w:sz w:val="20"/>
                <w:szCs w:val="20"/>
              </w:rPr>
            </w:pPr>
            <w:r w:rsidRPr="436E9498">
              <w:rPr>
                <w:rFonts w:ascii="Calibri" w:eastAsia="Calibri" w:hAnsi="Calibri" w:cs="Calibri"/>
                <w:b/>
                <w:bCs/>
                <w:color w:val="000000" w:themeColor="text1"/>
                <w:sz w:val="20"/>
                <w:szCs w:val="20"/>
              </w:rPr>
              <w:t>May-23</w:t>
            </w:r>
          </w:p>
        </w:tc>
        <w:tc>
          <w:tcPr>
            <w:tcW w:w="6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3EAF1"/>
            <w:tcMar>
              <w:left w:w="30" w:type="dxa"/>
              <w:bottom w:w="30" w:type="dxa"/>
              <w:right w:w="30" w:type="dxa"/>
            </w:tcMar>
            <w:vAlign w:val="bottom"/>
          </w:tcPr>
          <w:p w14:paraId="33E98663" w14:textId="71194D7E" w:rsidR="436E9498" w:rsidRDefault="436E9498" w:rsidP="436E9498">
            <w:pPr>
              <w:rPr>
                <w:rFonts w:ascii="Calibri" w:eastAsia="Calibri" w:hAnsi="Calibri" w:cs="Calibri"/>
                <w:b/>
                <w:bCs/>
                <w:color w:val="000000" w:themeColor="text1"/>
                <w:sz w:val="20"/>
                <w:szCs w:val="20"/>
              </w:rPr>
            </w:pPr>
            <w:r w:rsidRPr="436E9498">
              <w:rPr>
                <w:rFonts w:ascii="Calibri" w:eastAsia="Calibri" w:hAnsi="Calibri" w:cs="Calibri"/>
                <w:b/>
                <w:bCs/>
                <w:color w:val="000000" w:themeColor="text1"/>
                <w:sz w:val="20"/>
                <w:szCs w:val="20"/>
              </w:rPr>
              <w:t>Jun-23</w:t>
            </w:r>
          </w:p>
        </w:tc>
        <w:tc>
          <w:tcPr>
            <w:tcW w:w="6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3EAF1"/>
            <w:tcMar>
              <w:left w:w="30" w:type="dxa"/>
              <w:bottom w:w="30" w:type="dxa"/>
              <w:right w:w="30" w:type="dxa"/>
            </w:tcMar>
            <w:vAlign w:val="bottom"/>
          </w:tcPr>
          <w:p w14:paraId="706BF003" w14:textId="3001D930" w:rsidR="436E9498" w:rsidRDefault="436E9498" w:rsidP="436E9498">
            <w:pPr>
              <w:rPr>
                <w:rFonts w:ascii="Calibri" w:eastAsia="Calibri" w:hAnsi="Calibri" w:cs="Calibri"/>
                <w:b/>
                <w:bCs/>
                <w:color w:val="000000" w:themeColor="text1"/>
                <w:sz w:val="20"/>
                <w:szCs w:val="20"/>
              </w:rPr>
            </w:pPr>
            <w:r w:rsidRPr="436E9498">
              <w:rPr>
                <w:rFonts w:ascii="Calibri" w:eastAsia="Calibri" w:hAnsi="Calibri" w:cs="Calibri"/>
                <w:b/>
                <w:bCs/>
                <w:color w:val="000000" w:themeColor="text1"/>
                <w:sz w:val="20"/>
                <w:szCs w:val="20"/>
              </w:rPr>
              <w:t>Jul-</w:t>
            </w:r>
            <w:r w:rsidR="08B5A22C" w:rsidRPr="436E9498">
              <w:rPr>
                <w:rFonts w:ascii="Calibri" w:eastAsia="Calibri" w:hAnsi="Calibri" w:cs="Calibri"/>
                <w:b/>
                <w:bCs/>
                <w:color w:val="000000" w:themeColor="text1"/>
                <w:sz w:val="20"/>
                <w:szCs w:val="20"/>
              </w:rPr>
              <w:t xml:space="preserve"> </w:t>
            </w:r>
            <w:r w:rsidRPr="436E9498">
              <w:rPr>
                <w:rFonts w:ascii="Calibri" w:eastAsia="Calibri" w:hAnsi="Calibri" w:cs="Calibri"/>
                <w:b/>
                <w:bCs/>
                <w:color w:val="000000" w:themeColor="text1"/>
                <w:sz w:val="20"/>
                <w:szCs w:val="20"/>
              </w:rPr>
              <w:t>23</w:t>
            </w:r>
          </w:p>
        </w:tc>
        <w:tc>
          <w:tcPr>
            <w:tcW w:w="6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3EAF1"/>
            <w:tcMar>
              <w:left w:w="30" w:type="dxa"/>
              <w:bottom w:w="30" w:type="dxa"/>
              <w:right w:w="30" w:type="dxa"/>
            </w:tcMar>
            <w:vAlign w:val="bottom"/>
          </w:tcPr>
          <w:p w14:paraId="4F4FE97A" w14:textId="73FA4E5B" w:rsidR="436E9498" w:rsidRDefault="436E9498" w:rsidP="436E9498">
            <w:pPr>
              <w:rPr>
                <w:rFonts w:ascii="Calibri" w:eastAsia="Calibri" w:hAnsi="Calibri" w:cs="Calibri"/>
                <w:b/>
                <w:bCs/>
                <w:color w:val="000000" w:themeColor="text1"/>
                <w:sz w:val="20"/>
                <w:szCs w:val="20"/>
              </w:rPr>
            </w:pPr>
            <w:r w:rsidRPr="436E9498">
              <w:rPr>
                <w:rFonts w:ascii="Calibri" w:eastAsia="Calibri" w:hAnsi="Calibri" w:cs="Calibri"/>
                <w:b/>
                <w:bCs/>
                <w:color w:val="000000" w:themeColor="text1"/>
                <w:sz w:val="20"/>
                <w:szCs w:val="20"/>
              </w:rPr>
              <w:t>Aug-23</w:t>
            </w:r>
          </w:p>
        </w:tc>
      </w:tr>
      <w:tr w:rsidR="436E9498" w14:paraId="23BADB88" w14:textId="77777777" w:rsidTr="436E9498">
        <w:trPr>
          <w:trHeight w:val="165"/>
        </w:trPr>
        <w:tc>
          <w:tcPr>
            <w:tcW w:w="30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6AA3754C" w14:textId="07A2F8C4" w:rsidR="436E9498" w:rsidRDefault="436E9498" w:rsidP="436E9498">
            <w:pPr>
              <w:rPr>
                <w:rFonts w:ascii="Calibri" w:eastAsia="Calibri" w:hAnsi="Calibri" w:cs="Calibri"/>
                <w:color w:val="000000" w:themeColor="text1"/>
                <w:sz w:val="20"/>
                <w:szCs w:val="20"/>
              </w:rPr>
            </w:pPr>
            <w:r w:rsidRPr="436E9498">
              <w:rPr>
                <w:rFonts w:ascii="Calibri" w:eastAsia="Calibri" w:hAnsi="Calibri" w:cs="Calibri"/>
                <w:color w:val="000000" w:themeColor="text1"/>
                <w:sz w:val="20"/>
                <w:szCs w:val="20"/>
              </w:rPr>
              <w:t>Trust Monthly</w:t>
            </w:r>
          </w:p>
        </w:tc>
        <w:tc>
          <w:tcPr>
            <w:tcW w:w="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42FBF872" w14:textId="11B0CAF0" w:rsidR="436E9498" w:rsidRDefault="436E9498" w:rsidP="436E9498">
            <w:pPr>
              <w:rPr>
                <w:rFonts w:ascii="Calibri" w:eastAsia="Calibri" w:hAnsi="Calibri" w:cs="Calibri"/>
                <w:color w:val="000000" w:themeColor="text1"/>
                <w:sz w:val="20"/>
                <w:szCs w:val="20"/>
              </w:rPr>
            </w:pPr>
            <w:r w:rsidRPr="436E9498">
              <w:rPr>
                <w:rFonts w:ascii="Calibri" w:eastAsia="Calibri" w:hAnsi="Calibri" w:cs="Calibri"/>
                <w:color w:val="000000" w:themeColor="text1"/>
                <w:sz w:val="20"/>
                <w:szCs w:val="20"/>
              </w:rPr>
              <w:t>113.5</w:t>
            </w:r>
          </w:p>
        </w:tc>
        <w:tc>
          <w:tcPr>
            <w:tcW w:w="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42C5EBAE" w14:textId="231A3854" w:rsidR="436E9498" w:rsidRDefault="436E9498" w:rsidP="436E9498">
            <w:pPr>
              <w:rPr>
                <w:rFonts w:ascii="Calibri" w:eastAsia="Calibri" w:hAnsi="Calibri" w:cs="Calibri"/>
                <w:color w:val="000000" w:themeColor="text1"/>
                <w:sz w:val="20"/>
                <w:szCs w:val="20"/>
              </w:rPr>
            </w:pPr>
            <w:r w:rsidRPr="436E9498">
              <w:rPr>
                <w:rFonts w:ascii="Calibri" w:eastAsia="Calibri" w:hAnsi="Calibri" w:cs="Calibri"/>
                <w:color w:val="000000" w:themeColor="text1"/>
                <w:sz w:val="20"/>
                <w:szCs w:val="20"/>
              </w:rPr>
              <w:t>115.3</w:t>
            </w:r>
          </w:p>
        </w:tc>
        <w:tc>
          <w:tcPr>
            <w:tcW w:w="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5B2FEB67" w14:textId="5BB971DC" w:rsidR="436E9498" w:rsidRDefault="436E9498" w:rsidP="436E9498">
            <w:pPr>
              <w:rPr>
                <w:rFonts w:ascii="Calibri" w:eastAsia="Calibri" w:hAnsi="Calibri" w:cs="Calibri"/>
                <w:color w:val="000000" w:themeColor="text1"/>
                <w:sz w:val="20"/>
                <w:szCs w:val="20"/>
              </w:rPr>
            </w:pPr>
            <w:r w:rsidRPr="436E9498">
              <w:rPr>
                <w:rFonts w:ascii="Calibri" w:eastAsia="Calibri" w:hAnsi="Calibri" w:cs="Calibri"/>
                <w:color w:val="000000" w:themeColor="text1"/>
                <w:sz w:val="20"/>
                <w:szCs w:val="20"/>
              </w:rPr>
              <w:t>110.0</w:t>
            </w:r>
          </w:p>
        </w:tc>
        <w:tc>
          <w:tcPr>
            <w:tcW w:w="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3259B06B" w14:textId="0CBA34F2" w:rsidR="436E9498" w:rsidRDefault="436E9498" w:rsidP="436E9498">
            <w:pPr>
              <w:rPr>
                <w:rFonts w:ascii="Calibri" w:eastAsia="Calibri" w:hAnsi="Calibri" w:cs="Calibri"/>
                <w:color w:val="000000" w:themeColor="text1"/>
                <w:sz w:val="20"/>
                <w:szCs w:val="20"/>
              </w:rPr>
            </w:pPr>
            <w:r w:rsidRPr="436E9498">
              <w:rPr>
                <w:rFonts w:ascii="Calibri" w:eastAsia="Calibri" w:hAnsi="Calibri" w:cs="Calibri"/>
                <w:color w:val="000000" w:themeColor="text1"/>
                <w:sz w:val="20"/>
                <w:szCs w:val="20"/>
              </w:rPr>
              <w:t>122.8</w:t>
            </w:r>
          </w:p>
        </w:tc>
        <w:tc>
          <w:tcPr>
            <w:tcW w:w="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00684384" w14:textId="5BE99924" w:rsidR="436E9498" w:rsidRDefault="436E9498" w:rsidP="436E9498">
            <w:pPr>
              <w:rPr>
                <w:rFonts w:ascii="Calibri" w:eastAsia="Calibri" w:hAnsi="Calibri" w:cs="Calibri"/>
                <w:color w:val="000000" w:themeColor="text1"/>
                <w:sz w:val="20"/>
                <w:szCs w:val="20"/>
              </w:rPr>
            </w:pPr>
            <w:r w:rsidRPr="436E9498">
              <w:rPr>
                <w:rFonts w:ascii="Calibri" w:eastAsia="Calibri" w:hAnsi="Calibri" w:cs="Calibri"/>
                <w:color w:val="000000" w:themeColor="text1"/>
                <w:sz w:val="20"/>
                <w:szCs w:val="20"/>
              </w:rPr>
              <w:t>93.4</w:t>
            </w:r>
          </w:p>
        </w:tc>
        <w:tc>
          <w:tcPr>
            <w:tcW w:w="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74C2B127" w14:textId="4F958242" w:rsidR="436E9498" w:rsidRDefault="436E9498" w:rsidP="436E9498">
            <w:pPr>
              <w:rPr>
                <w:rFonts w:ascii="Calibri" w:eastAsia="Calibri" w:hAnsi="Calibri" w:cs="Calibri"/>
                <w:color w:val="000000" w:themeColor="text1"/>
                <w:sz w:val="20"/>
                <w:szCs w:val="20"/>
              </w:rPr>
            </w:pPr>
            <w:r w:rsidRPr="436E9498">
              <w:rPr>
                <w:rFonts w:ascii="Calibri" w:eastAsia="Calibri" w:hAnsi="Calibri" w:cs="Calibri"/>
                <w:color w:val="000000" w:themeColor="text1"/>
                <w:sz w:val="20"/>
                <w:szCs w:val="20"/>
              </w:rPr>
              <w:t>104.4</w:t>
            </w:r>
          </w:p>
        </w:tc>
        <w:tc>
          <w:tcPr>
            <w:tcW w:w="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682236CE" w14:textId="264B5A77" w:rsidR="436E9498" w:rsidRDefault="436E9498" w:rsidP="436E9498">
            <w:pPr>
              <w:rPr>
                <w:rFonts w:ascii="Calibri" w:eastAsia="Calibri" w:hAnsi="Calibri" w:cs="Calibri"/>
                <w:color w:val="000000" w:themeColor="text1"/>
                <w:sz w:val="20"/>
                <w:szCs w:val="20"/>
              </w:rPr>
            </w:pPr>
            <w:r w:rsidRPr="436E9498">
              <w:rPr>
                <w:rFonts w:ascii="Calibri" w:eastAsia="Calibri" w:hAnsi="Calibri" w:cs="Calibri"/>
                <w:color w:val="000000" w:themeColor="text1"/>
                <w:sz w:val="20"/>
                <w:szCs w:val="20"/>
              </w:rPr>
              <w:t>100.0</w:t>
            </w:r>
          </w:p>
        </w:tc>
        <w:tc>
          <w:tcPr>
            <w:tcW w:w="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29279AC5" w14:textId="0100117F" w:rsidR="436E9498" w:rsidRDefault="436E9498" w:rsidP="436E9498">
            <w:pPr>
              <w:rPr>
                <w:rFonts w:ascii="Calibri" w:eastAsia="Calibri" w:hAnsi="Calibri" w:cs="Calibri"/>
                <w:color w:val="000000" w:themeColor="text1"/>
                <w:sz w:val="20"/>
                <w:szCs w:val="20"/>
              </w:rPr>
            </w:pPr>
            <w:r w:rsidRPr="436E9498">
              <w:rPr>
                <w:rFonts w:ascii="Calibri" w:eastAsia="Calibri" w:hAnsi="Calibri" w:cs="Calibri"/>
                <w:color w:val="000000" w:themeColor="text1"/>
                <w:sz w:val="20"/>
                <w:szCs w:val="20"/>
              </w:rPr>
              <w:t>91.1</w:t>
            </w:r>
          </w:p>
        </w:tc>
        <w:tc>
          <w:tcPr>
            <w:tcW w:w="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397D51EA" w14:textId="79722536" w:rsidR="436E9498" w:rsidRDefault="436E9498" w:rsidP="436E9498">
            <w:pPr>
              <w:rPr>
                <w:rFonts w:ascii="Calibri" w:eastAsia="Calibri" w:hAnsi="Calibri" w:cs="Calibri"/>
                <w:color w:val="000000" w:themeColor="text1"/>
                <w:sz w:val="20"/>
                <w:szCs w:val="20"/>
              </w:rPr>
            </w:pPr>
            <w:r w:rsidRPr="436E9498">
              <w:rPr>
                <w:rFonts w:ascii="Calibri" w:eastAsia="Calibri" w:hAnsi="Calibri" w:cs="Calibri"/>
                <w:color w:val="000000" w:themeColor="text1"/>
                <w:sz w:val="20"/>
                <w:szCs w:val="20"/>
              </w:rPr>
              <w:t>131.2</w:t>
            </w:r>
          </w:p>
        </w:tc>
        <w:tc>
          <w:tcPr>
            <w:tcW w:w="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27DC1CD4" w14:textId="78E1A9B8" w:rsidR="436E9498" w:rsidRDefault="436E9498" w:rsidP="436E9498">
            <w:pPr>
              <w:rPr>
                <w:rFonts w:ascii="Calibri" w:eastAsia="Calibri" w:hAnsi="Calibri" w:cs="Calibri"/>
                <w:color w:val="000000" w:themeColor="text1"/>
                <w:sz w:val="20"/>
                <w:szCs w:val="20"/>
              </w:rPr>
            </w:pPr>
            <w:r w:rsidRPr="436E9498">
              <w:rPr>
                <w:rFonts w:ascii="Calibri" w:eastAsia="Calibri" w:hAnsi="Calibri" w:cs="Calibri"/>
                <w:color w:val="000000" w:themeColor="text1"/>
                <w:sz w:val="20"/>
                <w:szCs w:val="20"/>
              </w:rPr>
              <w:t>110.6</w:t>
            </w:r>
          </w:p>
        </w:tc>
        <w:tc>
          <w:tcPr>
            <w:tcW w:w="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2D29408E" w14:textId="6DD5E684" w:rsidR="436E9498" w:rsidRDefault="436E9498" w:rsidP="436E9498">
            <w:pPr>
              <w:rPr>
                <w:rFonts w:ascii="Calibri" w:eastAsia="Calibri" w:hAnsi="Calibri" w:cs="Calibri"/>
                <w:color w:val="000000" w:themeColor="text1"/>
                <w:sz w:val="20"/>
                <w:szCs w:val="20"/>
              </w:rPr>
            </w:pPr>
            <w:r w:rsidRPr="436E9498">
              <w:rPr>
                <w:rFonts w:ascii="Calibri" w:eastAsia="Calibri" w:hAnsi="Calibri" w:cs="Calibri"/>
                <w:color w:val="000000" w:themeColor="text1"/>
                <w:sz w:val="20"/>
                <w:szCs w:val="20"/>
              </w:rPr>
              <w:t>100.2</w:t>
            </w:r>
          </w:p>
        </w:tc>
        <w:tc>
          <w:tcPr>
            <w:tcW w:w="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27528FD2" w14:textId="291876C4" w:rsidR="436E9498" w:rsidRDefault="436E9498" w:rsidP="436E9498">
            <w:pPr>
              <w:rPr>
                <w:rFonts w:ascii="Calibri" w:eastAsia="Calibri" w:hAnsi="Calibri" w:cs="Calibri"/>
                <w:color w:val="000000" w:themeColor="text1"/>
                <w:sz w:val="20"/>
                <w:szCs w:val="20"/>
              </w:rPr>
            </w:pPr>
            <w:r w:rsidRPr="436E9498">
              <w:rPr>
                <w:rFonts w:ascii="Calibri" w:eastAsia="Calibri" w:hAnsi="Calibri" w:cs="Calibri"/>
                <w:color w:val="000000" w:themeColor="text1"/>
                <w:sz w:val="20"/>
                <w:szCs w:val="20"/>
              </w:rPr>
              <w:t>0.0</w:t>
            </w:r>
          </w:p>
        </w:tc>
      </w:tr>
      <w:tr w:rsidR="436E9498" w14:paraId="5C1FED86" w14:textId="77777777" w:rsidTr="436E9498">
        <w:trPr>
          <w:trHeight w:val="180"/>
        </w:trPr>
        <w:tc>
          <w:tcPr>
            <w:tcW w:w="30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7249B665" w14:textId="79E54D8F" w:rsidR="436E9498" w:rsidRDefault="436E9498" w:rsidP="436E9498">
            <w:pPr>
              <w:rPr>
                <w:rFonts w:ascii="Calibri" w:eastAsia="Calibri" w:hAnsi="Calibri" w:cs="Calibri"/>
                <w:color w:val="000000" w:themeColor="text1"/>
                <w:sz w:val="20"/>
                <w:szCs w:val="20"/>
              </w:rPr>
            </w:pPr>
            <w:r w:rsidRPr="436E9498">
              <w:rPr>
                <w:rFonts w:ascii="Calibri" w:eastAsia="Calibri" w:hAnsi="Calibri" w:cs="Calibri"/>
                <w:color w:val="000000" w:themeColor="text1"/>
                <w:sz w:val="20"/>
                <w:szCs w:val="20"/>
              </w:rPr>
              <w:t>Trust 12 month rolling</w:t>
            </w:r>
          </w:p>
        </w:tc>
        <w:tc>
          <w:tcPr>
            <w:tcW w:w="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22814AF3" w14:textId="60E86988" w:rsidR="436E9498" w:rsidRDefault="436E9498" w:rsidP="436E9498">
            <w:pPr>
              <w:rPr>
                <w:rFonts w:ascii="Calibri" w:eastAsia="Calibri" w:hAnsi="Calibri" w:cs="Calibri"/>
                <w:color w:val="000000" w:themeColor="text1"/>
                <w:sz w:val="20"/>
                <w:szCs w:val="20"/>
              </w:rPr>
            </w:pPr>
            <w:r w:rsidRPr="436E9498">
              <w:rPr>
                <w:rFonts w:ascii="Calibri" w:eastAsia="Calibri" w:hAnsi="Calibri" w:cs="Calibri"/>
                <w:color w:val="000000" w:themeColor="text1"/>
                <w:sz w:val="20"/>
                <w:szCs w:val="20"/>
              </w:rPr>
              <w:t>113.3</w:t>
            </w:r>
          </w:p>
        </w:tc>
        <w:tc>
          <w:tcPr>
            <w:tcW w:w="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693FEA7B" w14:textId="5A2976A5" w:rsidR="436E9498" w:rsidRDefault="436E9498" w:rsidP="436E9498">
            <w:pPr>
              <w:rPr>
                <w:rFonts w:ascii="Calibri" w:eastAsia="Calibri" w:hAnsi="Calibri" w:cs="Calibri"/>
                <w:color w:val="000000" w:themeColor="text1"/>
                <w:sz w:val="20"/>
                <w:szCs w:val="20"/>
              </w:rPr>
            </w:pPr>
            <w:r w:rsidRPr="436E9498">
              <w:rPr>
                <w:rFonts w:ascii="Calibri" w:eastAsia="Calibri" w:hAnsi="Calibri" w:cs="Calibri"/>
                <w:color w:val="000000" w:themeColor="text1"/>
                <w:sz w:val="20"/>
                <w:szCs w:val="20"/>
              </w:rPr>
              <w:t>113.5</w:t>
            </w:r>
          </w:p>
        </w:tc>
        <w:tc>
          <w:tcPr>
            <w:tcW w:w="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228810E0" w14:textId="4A95E83F" w:rsidR="436E9498" w:rsidRDefault="436E9498" w:rsidP="436E9498">
            <w:pPr>
              <w:rPr>
                <w:rFonts w:ascii="Calibri" w:eastAsia="Calibri" w:hAnsi="Calibri" w:cs="Calibri"/>
                <w:color w:val="000000" w:themeColor="text1"/>
                <w:sz w:val="20"/>
                <w:szCs w:val="20"/>
              </w:rPr>
            </w:pPr>
            <w:r w:rsidRPr="436E9498">
              <w:rPr>
                <w:rFonts w:ascii="Calibri" w:eastAsia="Calibri" w:hAnsi="Calibri" w:cs="Calibri"/>
                <w:color w:val="000000" w:themeColor="text1"/>
                <w:sz w:val="20"/>
                <w:szCs w:val="20"/>
              </w:rPr>
              <w:t>113.8</w:t>
            </w:r>
          </w:p>
        </w:tc>
        <w:tc>
          <w:tcPr>
            <w:tcW w:w="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5E270924" w14:textId="7666591D" w:rsidR="436E9498" w:rsidRDefault="436E9498" w:rsidP="436E9498">
            <w:pPr>
              <w:rPr>
                <w:rFonts w:ascii="Calibri" w:eastAsia="Calibri" w:hAnsi="Calibri" w:cs="Calibri"/>
                <w:color w:val="000000" w:themeColor="text1"/>
                <w:sz w:val="20"/>
                <w:szCs w:val="20"/>
              </w:rPr>
            </w:pPr>
            <w:r w:rsidRPr="436E9498">
              <w:rPr>
                <w:rFonts w:ascii="Calibri" w:eastAsia="Calibri" w:hAnsi="Calibri" w:cs="Calibri"/>
                <w:color w:val="000000" w:themeColor="text1"/>
                <w:sz w:val="20"/>
                <w:szCs w:val="20"/>
              </w:rPr>
              <w:t>114.5</w:t>
            </w:r>
          </w:p>
        </w:tc>
        <w:tc>
          <w:tcPr>
            <w:tcW w:w="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7843207C" w14:textId="0245FB49" w:rsidR="436E9498" w:rsidRDefault="436E9498" w:rsidP="436E9498">
            <w:pPr>
              <w:rPr>
                <w:rFonts w:ascii="Calibri" w:eastAsia="Calibri" w:hAnsi="Calibri" w:cs="Calibri"/>
                <w:color w:val="000000" w:themeColor="text1"/>
                <w:sz w:val="20"/>
                <w:szCs w:val="20"/>
              </w:rPr>
            </w:pPr>
            <w:r w:rsidRPr="436E9498">
              <w:rPr>
                <w:rFonts w:ascii="Calibri" w:eastAsia="Calibri" w:hAnsi="Calibri" w:cs="Calibri"/>
                <w:color w:val="000000" w:themeColor="text1"/>
                <w:sz w:val="20"/>
                <w:szCs w:val="20"/>
              </w:rPr>
              <w:t>113.0</w:t>
            </w:r>
          </w:p>
        </w:tc>
        <w:tc>
          <w:tcPr>
            <w:tcW w:w="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535E2ED3" w14:textId="0E518E9D" w:rsidR="436E9498" w:rsidRDefault="436E9498" w:rsidP="436E9498">
            <w:pPr>
              <w:rPr>
                <w:rFonts w:ascii="Calibri" w:eastAsia="Calibri" w:hAnsi="Calibri" w:cs="Calibri"/>
                <w:color w:val="000000" w:themeColor="text1"/>
                <w:sz w:val="20"/>
                <w:szCs w:val="20"/>
              </w:rPr>
            </w:pPr>
            <w:r w:rsidRPr="436E9498">
              <w:rPr>
                <w:rFonts w:ascii="Calibri" w:eastAsia="Calibri" w:hAnsi="Calibri" w:cs="Calibri"/>
                <w:color w:val="000000" w:themeColor="text1"/>
                <w:sz w:val="20"/>
                <w:szCs w:val="20"/>
              </w:rPr>
              <w:t>112.2</w:t>
            </w:r>
          </w:p>
        </w:tc>
        <w:tc>
          <w:tcPr>
            <w:tcW w:w="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71FF07B2" w14:textId="028EE085" w:rsidR="436E9498" w:rsidRDefault="436E9498" w:rsidP="436E9498">
            <w:pPr>
              <w:rPr>
                <w:rFonts w:ascii="Calibri" w:eastAsia="Calibri" w:hAnsi="Calibri" w:cs="Calibri"/>
                <w:color w:val="000000" w:themeColor="text1"/>
                <w:sz w:val="20"/>
                <w:szCs w:val="20"/>
              </w:rPr>
            </w:pPr>
            <w:r w:rsidRPr="436E9498">
              <w:rPr>
                <w:rFonts w:ascii="Calibri" w:eastAsia="Calibri" w:hAnsi="Calibri" w:cs="Calibri"/>
                <w:color w:val="000000" w:themeColor="text1"/>
                <w:sz w:val="20"/>
                <w:szCs w:val="20"/>
              </w:rPr>
              <w:t>111.5</w:t>
            </w:r>
          </w:p>
        </w:tc>
        <w:tc>
          <w:tcPr>
            <w:tcW w:w="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0667078B" w14:textId="022106D8" w:rsidR="436E9498" w:rsidRDefault="436E9498" w:rsidP="436E9498">
            <w:pPr>
              <w:rPr>
                <w:rFonts w:ascii="Calibri" w:eastAsia="Calibri" w:hAnsi="Calibri" w:cs="Calibri"/>
                <w:color w:val="000000" w:themeColor="text1"/>
                <w:sz w:val="20"/>
                <w:szCs w:val="20"/>
              </w:rPr>
            </w:pPr>
            <w:r w:rsidRPr="436E9498">
              <w:rPr>
                <w:rFonts w:ascii="Calibri" w:eastAsia="Calibri" w:hAnsi="Calibri" w:cs="Calibri"/>
                <w:color w:val="000000" w:themeColor="text1"/>
                <w:sz w:val="20"/>
                <w:szCs w:val="20"/>
              </w:rPr>
              <w:t>109.2</w:t>
            </w:r>
          </w:p>
        </w:tc>
        <w:tc>
          <w:tcPr>
            <w:tcW w:w="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7A58D187" w14:textId="2478E1DC" w:rsidR="436E9498" w:rsidRDefault="436E9498" w:rsidP="436E9498">
            <w:pPr>
              <w:rPr>
                <w:rFonts w:ascii="Calibri" w:eastAsia="Calibri" w:hAnsi="Calibri" w:cs="Calibri"/>
                <w:color w:val="000000" w:themeColor="text1"/>
                <w:sz w:val="20"/>
                <w:szCs w:val="20"/>
              </w:rPr>
            </w:pPr>
            <w:r w:rsidRPr="436E9498">
              <w:rPr>
                <w:rFonts w:ascii="Calibri" w:eastAsia="Calibri" w:hAnsi="Calibri" w:cs="Calibri"/>
                <w:color w:val="000000" w:themeColor="text1"/>
                <w:sz w:val="20"/>
                <w:szCs w:val="20"/>
              </w:rPr>
              <w:t>112.1</w:t>
            </w:r>
          </w:p>
        </w:tc>
        <w:tc>
          <w:tcPr>
            <w:tcW w:w="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73FF1DA3" w14:textId="117C920F" w:rsidR="436E9498" w:rsidRDefault="436E9498" w:rsidP="436E9498">
            <w:pPr>
              <w:rPr>
                <w:rFonts w:ascii="Calibri" w:eastAsia="Calibri" w:hAnsi="Calibri" w:cs="Calibri"/>
                <w:color w:val="000000" w:themeColor="text1"/>
                <w:sz w:val="20"/>
                <w:szCs w:val="20"/>
              </w:rPr>
            </w:pPr>
            <w:r w:rsidRPr="436E9498">
              <w:rPr>
                <w:rFonts w:ascii="Calibri" w:eastAsia="Calibri" w:hAnsi="Calibri" w:cs="Calibri"/>
                <w:color w:val="000000" w:themeColor="text1"/>
                <w:sz w:val="20"/>
                <w:szCs w:val="20"/>
              </w:rPr>
              <w:t>112.2</w:t>
            </w:r>
          </w:p>
        </w:tc>
        <w:tc>
          <w:tcPr>
            <w:tcW w:w="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1C4014C6" w14:textId="2067B34B" w:rsidR="436E9498" w:rsidRDefault="436E9498" w:rsidP="436E9498">
            <w:pPr>
              <w:rPr>
                <w:rFonts w:ascii="Calibri" w:eastAsia="Calibri" w:hAnsi="Calibri" w:cs="Calibri"/>
                <w:color w:val="000000" w:themeColor="text1"/>
                <w:sz w:val="20"/>
                <w:szCs w:val="20"/>
              </w:rPr>
            </w:pPr>
            <w:r w:rsidRPr="436E9498">
              <w:rPr>
                <w:rFonts w:ascii="Calibri" w:eastAsia="Calibri" w:hAnsi="Calibri" w:cs="Calibri"/>
                <w:color w:val="000000" w:themeColor="text1"/>
                <w:sz w:val="20"/>
                <w:szCs w:val="20"/>
              </w:rPr>
              <w:t>109.3</w:t>
            </w:r>
          </w:p>
        </w:tc>
        <w:tc>
          <w:tcPr>
            <w:tcW w:w="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2686C1C8" w14:textId="36D95283" w:rsidR="436E9498" w:rsidRDefault="436E9498" w:rsidP="436E9498">
            <w:pPr>
              <w:rPr>
                <w:rFonts w:ascii="Calibri" w:eastAsia="Calibri" w:hAnsi="Calibri" w:cs="Calibri"/>
                <w:color w:val="000000" w:themeColor="text1"/>
                <w:sz w:val="20"/>
                <w:szCs w:val="20"/>
              </w:rPr>
            </w:pPr>
            <w:r w:rsidRPr="436E9498">
              <w:rPr>
                <w:rFonts w:ascii="Calibri" w:eastAsia="Calibri" w:hAnsi="Calibri" w:cs="Calibri"/>
                <w:color w:val="000000" w:themeColor="text1"/>
                <w:sz w:val="20"/>
                <w:szCs w:val="20"/>
              </w:rPr>
              <w:t>108.2</w:t>
            </w:r>
          </w:p>
        </w:tc>
      </w:tr>
      <w:tr w:rsidR="436E9498" w14:paraId="59E44C2D" w14:textId="77777777" w:rsidTr="436E9498">
        <w:trPr>
          <w:trHeight w:val="165"/>
        </w:trPr>
        <w:tc>
          <w:tcPr>
            <w:tcW w:w="30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30B705BD" w14:textId="162351EB" w:rsidR="436E9498" w:rsidRDefault="436E9498" w:rsidP="436E9498">
            <w:pPr>
              <w:rPr>
                <w:rFonts w:ascii="Calibri" w:eastAsia="Calibri" w:hAnsi="Calibri" w:cs="Calibri"/>
                <w:color w:val="000000" w:themeColor="text1"/>
                <w:sz w:val="20"/>
                <w:szCs w:val="20"/>
              </w:rPr>
            </w:pPr>
            <w:r w:rsidRPr="436E9498">
              <w:rPr>
                <w:rFonts w:ascii="Calibri" w:eastAsia="Calibri" w:hAnsi="Calibri" w:cs="Calibri"/>
                <w:color w:val="000000" w:themeColor="text1"/>
                <w:sz w:val="20"/>
                <w:szCs w:val="20"/>
              </w:rPr>
              <w:t>National Peer 12 month rolling</w:t>
            </w:r>
          </w:p>
        </w:tc>
        <w:tc>
          <w:tcPr>
            <w:tcW w:w="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3F5E8D76" w14:textId="42D008AB" w:rsidR="436E9498" w:rsidRDefault="436E9498" w:rsidP="436E9498">
            <w:pPr>
              <w:rPr>
                <w:rFonts w:ascii="Calibri" w:eastAsia="Calibri" w:hAnsi="Calibri" w:cs="Calibri"/>
                <w:color w:val="000000" w:themeColor="text1"/>
                <w:sz w:val="20"/>
                <w:szCs w:val="20"/>
              </w:rPr>
            </w:pPr>
            <w:r w:rsidRPr="436E9498">
              <w:rPr>
                <w:rFonts w:ascii="Calibri" w:eastAsia="Calibri" w:hAnsi="Calibri" w:cs="Calibri"/>
                <w:color w:val="000000" w:themeColor="text1"/>
                <w:sz w:val="20"/>
                <w:szCs w:val="20"/>
              </w:rPr>
              <w:t>104.3</w:t>
            </w:r>
          </w:p>
        </w:tc>
        <w:tc>
          <w:tcPr>
            <w:tcW w:w="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369BCB7B" w14:textId="57A79E48" w:rsidR="436E9498" w:rsidRDefault="436E9498" w:rsidP="436E9498">
            <w:pPr>
              <w:rPr>
                <w:rFonts w:ascii="Calibri" w:eastAsia="Calibri" w:hAnsi="Calibri" w:cs="Calibri"/>
                <w:color w:val="000000" w:themeColor="text1"/>
                <w:sz w:val="20"/>
                <w:szCs w:val="20"/>
              </w:rPr>
            </w:pPr>
            <w:r w:rsidRPr="436E9498">
              <w:rPr>
                <w:rFonts w:ascii="Calibri" w:eastAsia="Calibri" w:hAnsi="Calibri" w:cs="Calibri"/>
                <w:color w:val="000000" w:themeColor="text1"/>
                <w:sz w:val="20"/>
                <w:szCs w:val="20"/>
              </w:rPr>
              <w:t>104.7</w:t>
            </w:r>
          </w:p>
        </w:tc>
        <w:tc>
          <w:tcPr>
            <w:tcW w:w="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610FFD28" w14:textId="0C90D798" w:rsidR="436E9498" w:rsidRDefault="436E9498" w:rsidP="436E9498">
            <w:pPr>
              <w:rPr>
                <w:rFonts w:ascii="Calibri" w:eastAsia="Calibri" w:hAnsi="Calibri" w:cs="Calibri"/>
                <w:color w:val="000000" w:themeColor="text1"/>
                <w:sz w:val="20"/>
                <w:szCs w:val="20"/>
              </w:rPr>
            </w:pPr>
            <w:r w:rsidRPr="436E9498">
              <w:rPr>
                <w:rFonts w:ascii="Calibri" w:eastAsia="Calibri" w:hAnsi="Calibri" w:cs="Calibri"/>
                <w:color w:val="000000" w:themeColor="text1"/>
                <w:sz w:val="20"/>
                <w:szCs w:val="20"/>
              </w:rPr>
              <w:t>104.6</w:t>
            </w:r>
          </w:p>
        </w:tc>
        <w:tc>
          <w:tcPr>
            <w:tcW w:w="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1D704241" w14:textId="6E538AB8" w:rsidR="436E9498" w:rsidRDefault="436E9498" w:rsidP="436E9498">
            <w:pPr>
              <w:rPr>
                <w:rFonts w:ascii="Calibri" w:eastAsia="Calibri" w:hAnsi="Calibri" w:cs="Calibri"/>
                <w:color w:val="000000" w:themeColor="text1"/>
                <w:sz w:val="20"/>
                <w:szCs w:val="20"/>
              </w:rPr>
            </w:pPr>
            <w:r w:rsidRPr="436E9498">
              <w:rPr>
                <w:rFonts w:ascii="Calibri" w:eastAsia="Calibri" w:hAnsi="Calibri" w:cs="Calibri"/>
                <w:color w:val="000000" w:themeColor="text1"/>
                <w:sz w:val="20"/>
                <w:szCs w:val="20"/>
              </w:rPr>
              <w:t>105.8</w:t>
            </w:r>
          </w:p>
        </w:tc>
        <w:tc>
          <w:tcPr>
            <w:tcW w:w="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4F9229E5" w14:textId="1EF2260F" w:rsidR="436E9498" w:rsidRDefault="436E9498" w:rsidP="436E9498">
            <w:pPr>
              <w:rPr>
                <w:rFonts w:ascii="Calibri" w:eastAsia="Calibri" w:hAnsi="Calibri" w:cs="Calibri"/>
                <w:color w:val="000000" w:themeColor="text1"/>
                <w:sz w:val="20"/>
                <w:szCs w:val="20"/>
              </w:rPr>
            </w:pPr>
            <w:r w:rsidRPr="436E9498">
              <w:rPr>
                <w:rFonts w:ascii="Calibri" w:eastAsia="Calibri" w:hAnsi="Calibri" w:cs="Calibri"/>
                <w:color w:val="000000" w:themeColor="text1"/>
                <w:sz w:val="20"/>
                <w:szCs w:val="20"/>
              </w:rPr>
              <w:t>105.4</w:t>
            </w:r>
          </w:p>
        </w:tc>
        <w:tc>
          <w:tcPr>
            <w:tcW w:w="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7BBFE3BA" w14:textId="46791EE6" w:rsidR="436E9498" w:rsidRDefault="436E9498" w:rsidP="436E9498">
            <w:pPr>
              <w:rPr>
                <w:rFonts w:ascii="Calibri" w:eastAsia="Calibri" w:hAnsi="Calibri" w:cs="Calibri"/>
                <w:color w:val="000000" w:themeColor="text1"/>
                <w:sz w:val="20"/>
                <w:szCs w:val="20"/>
              </w:rPr>
            </w:pPr>
            <w:r w:rsidRPr="436E9498">
              <w:rPr>
                <w:rFonts w:ascii="Calibri" w:eastAsia="Calibri" w:hAnsi="Calibri" w:cs="Calibri"/>
                <w:color w:val="000000" w:themeColor="text1"/>
                <w:sz w:val="20"/>
                <w:szCs w:val="20"/>
              </w:rPr>
              <w:t>105.4</w:t>
            </w:r>
          </w:p>
        </w:tc>
        <w:tc>
          <w:tcPr>
            <w:tcW w:w="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12F00CB6" w14:textId="368FD8F6" w:rsidR="436E9498" w:rsidRDefault="436E9498" w:rsidP="436E9498">
            <w:pPr>
              <w:rPr>
                <w:rFonts w:ascii="Calibri" w:eastAsia="Calibri" w:hAnsi="Calibri" w:cs="Calibri"/>
                <w:color w:val="000000" w:themeColor="text1"/>
                <w:sz w:val="20"/>
                <w:szCs w:val="20"/>
              </w:rPr>
            </w:pPr>
            <w:r w:rsidRPr="436E9498">
              <w:rPr>
                <w:rFonts w:ascii="Calibri" w:eastAsia="Calibri" w:hAnsi="Calibri" w:cs="Calibri"/>
                <w:color w:val="000000" w:themeColor="text1"/>
                <w:sz w:val="20"/>
                <w:szCs w:val="20"/>
              </w:rPr>
              <w:t>105.4</w:t>
            </w:r>
          </w:p>
        </w:tc>
        <w:tc>
          <w:tcPr>
            <w:tcW w:w="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7811B1C9" w14:textId="4CBFCE57" w:rsidR="436E9498" w:rsidRDefault="436E9498" w:rsidP="436E9498">
            <w:pPr>
              <w:rPr>
                <w:rFonts w:ascii="Calibri" w:eastAsia="Calibri" w:hAnsi="Calibri" w:cs="Calibri"/>
                <w:color w:val="000000" w:themeColor="text1"/>
                <w:sz w:val="20"/>
                <w:szCs w:val="20"/>
              </w:rPr>
            </w:pPr>
            <w:r w:rsidRPr="436E9498">
              <w:rPr>
                <w:rFonts w:ascii="Calibri" w:eastAsia="Calibri" w:hAnsi="Calibri" w:cs="Calibri"/>
                <w:color w:val="000000" w:themeColor="text1"/>
                <w:sz w:val="20"/>
                <w:szCs w:val="20"/>
              </w:rPr>
              <w:t>105.2</w:t>
            </w:r>
          </w:p>
        </w:tc>
        <w:tc>
          <w:tcPr>
            <w:tcW w:w="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377372A6" w14:textId="591320C9" w:rsidR="436E9498" w:rsidRDefault="436E9498" w:rsidP="436E9498">
            <w:pPr>
              <w:rPr>
                <w:rFonts w:ascii="Calibri" w:eastAsia="Calibri" w:hAnsi="Calibri" w:cs="Calibri"/>
                <w:color w:val="000000" w:themeColor="text1"/>
                <w:sz w:val="20"/>
                <w:szCs w:val="20"/>
              </w:rPr>
            </w:pPr>
            <w:r w:rsidRPr="436E9498">
              <w:rPr>
                <w:rFonts w:ascii="Calibri" w:eastAsia="Calibri" w:hAnsi="Calibri" w:cs="Calibri"/>
                <w:color w:val="000000" w:themeColor="text1"/>
                <w:sz w:val="20"/>
                <w:szCs w:val="20"/>
              </w:rPr>
              <w:t>104.9</w:t>
            </w:r>
          </w:p>
        </w:tc>
        <w:tc>
          <w:tcPr>
            <w:tcW w:w="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11C2BE64" w14:textId="2B6384F0" w:rsidR="436E9498" w:rsidRDefault="436E9498" w:rsidP="436E9498">
            <w:pPr>
              <w:rPr>
                <w:rFonts w:ascii="Calibri" w:eastAsia="Calibri" w:hAnsi="Calibri" w:cs="Calibri"/>
                <w:color w:val="000000" w:themeColor="text1"/>
                <w:sz w:val="20"/>
                <w:szCs w:val="20"/>
              </w:rPr>
            </w:pPr>
            <w:r w:rsidRPr="436E9498">
              <w:rPr>
                <w:rFonts w:ascii="Calibri" w:eastAsia="Calibri" w:hAnsi="Calibri" w:cs="Calibri"/>
                <w:color w:val="000000" w:themeColor="text1"/>
                <w:sz w:val="20"/>
                <w:szCs w:val="20"/>
              </w:rPr>
              <w:t>104.4</w:t>
            </w:r>
          </w:p>
        </w:tc>
        <w:tc>
          <w:tcPr>
            <w:tcW w:w="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3D93ABB6" w14:textId="3DF2A54A" w:rsidR="436E9498" w:rsidRDefault="436E9498" w:rsidP="436E9498">
            <w:pPr>
              <w:rPr>
                <w:rFonts w:ascii="Calibri" w:eastAsia="Calibri" w:hAnsi="Calibri" w:cs="Calibri"/>
                <w:color w:val="000000" w:themeColor="text1"/>
                <w:sz w:val="20"/>
                <w:szCs w:val="20"/>
              </w:rPr>
            </w:pPr>
            <w:r w:rsidRPr="436E9498">
              <w:rPr>
                <w:rFonts w:ascii="Calibri" w:eastAsia="Calibri" w:hAnsi="Calibri" w:cs="Calibri"/>
                <w:color w:val="000000" w:themeColor="text1"/>
                <w:sz w:val="20"/>
                <w:szCs w:val="20"/>
              </w:rPr>
              <w:t>103.1</w:t>
            </w:r>
          </w:p>
        </w:tc>
        <w:tc>
          <w:tcPr>
            <w:tcW w:w="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3FA4F709" w14:textId="321358F7" w:rsidR="436E9498" w:rsidRDefault="436E9498" w:rsidP="436E9498">
            <w:pPr>
              <w:rPr>
                <w:rFonts w:ascii="Calibri" w:eastAsia="Calibri" w:hAnsi="Calibri" w:cs="Calibri"/>
                <w:color w:val="000000" w:themeColor="text1"/>
                <w:sz w:val="20"/>
                <w:szCs w:val="20"/>
              </w:rPr>
            </w:pPr>
            <w:r w:rsidRPr="436E9498">
              <w:rPr>
                <w:rFonts w:ascii="Calibri" w:eastAsia="Calibri" w:hAnsi="Calibri" w:cs="Calibri"/>
                <w:color w:val="000000" w:themeColor="text1"/>
                <w:sz w:val="20"/>
                <w:szCs w:val="20"/>
              </w:rPr>
              <w:t>102.5</w:t>
            </w:r>
          </w:p>
        </w:tc>
      </w:tr>
      <w:tr w:rsidR="436E9498" w14:paraId="1E622AC8" w14:textId="77777777" w:rsidTr="436E9498">
        <w:trPr>
          <w:trHeight w:val="300"/>
        </w:trPr>
        <w:tc>
          <w:tcPr>
            <w:tcW w:w="30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3FE3AF80" w14:textId="53AEEE20" w:rsidR="436E9498" w:rsidRDefault="436E9498" w:rsidP="436E9498">
            <w:pPr>
              <w:rPr>
                <w:rFonts w:ascii="Calibri" w:eastAsia="Calibri" w:hAnsi="Calibri" w:cs="Calibri"/>
                <w:color w:val="000000" w:themeColor="text1"/>
                <w:sz w:val="20"/>
                <w:szCs w:val="20"/>
              </w:rPr>
            </w:pPr>
            <w:r w:rsidRPr="436E9498">
              <w:rPr>
                <w:rFonts w:ascii="Calibri" w:eastAsia="Calibri" w:hAnsi="Calibri" w:cs="Calibri"/>
                <w:color w:val="000000" w:themeColor="text1"/>
                <w:sz w:val="20"/>
                <w:szCs w:val="20"/>
              </w:rPr>
              <w:t>Variance from the national peer</w:t>
            </w:r>
          </w:p>
        </w:tc>
        <w:tc>
          <w:tcPr>
            <w:tcW w:w="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40D0F3A7" w14:textId="01AFC267" w:rsidR="436E9498" w:rsidRDefault="436E9498" w:rsidP="436E9498">
            <w:pPr>
              <w:rPr>
                <w:rFonts w:ascii="Calibri" w:eastAsia="Calibri" w:hAnsi="Calibri" w:cs="Calibri"/>
                <w:color w:val="000000" w:themeColor="text1"/>
                <w:sz w:val="20"/>
                <w:szCs w:val="20"/>
              </w:rPr>
            </w:pPr>
            <w:r w:rsidRPr="436E9498">
              <w:rPr>
                <w:rFonts w:ascii="Calibri" w:eastAsia="Calibri" w:hAnsi="Calibri" w:cs="Calibri"/>
                <w:color w:val="000000" w:themeColor="text1"/>
                <w:sz w:val="20"/>
                <w:szCs w:val="20"/>
              </w:rPr>
              <w:t>9.0</w:t>
            </w:r>
          </w:p>
        </w:tc>
        <w:tc>
          <w:tcPr>
            <w:tcW w:w="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3C47D0F2" w14:textId="488D6161" w:rsidR="436E9498" w:rsidRDefault="436E9498" w:rsidP="436E9498">
            <w:pPr>
              <w:rPr>
                <w:rFonts w:ascii="Calibri" w:eastAsia="Calibri" w:hAnsi="Calibri" w:cs="Calibri"/>
                <w:color w:val="000000" w:themeColor="text1"/>
                <w:sz w:val="20"/>
                <w:szCs w:val="20"/>
              </w:rPr>
            </w:pPr>
            <w:r w:rsidRPr="436E9498">
              <w:rPr>
                <w:rFonts w:ascii="Calibri" w:eastAsia="Calibri" w:hAnsi="Calibri" w:cs="Calibri"/>
                <w:color w:val="000000" w:themeColor="text1"/>
                <w:sz w:val="20"/>
                <w:szCs w:val="20"/>
              </w:rPr>
              <w:t>8.8</w:t>
            </w:r>
          </w:p>
        </w:tc>
        <w:tc>
          <w:tcPr>
            <w:tcW w:w="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29F77F6E" w14:textId="4D199FED" w:rsidR="436E9498" w:rsidRDefault="436E9498" w:rsidP="436E9498">
            <w:pPr>
              <w:rPr>
                <w:rFonts w:ascii="Calibri" w:eastAsia="Calibri" w:hAnsi="Calibri" w:cs="Calibri"/>
                <w:color w:val="000000" w:themeColor="text1"/>
                <w:sz w:val="20"/>
                <w:szCs w:val="20"/>
              </w:rPr>
            </w:pPr>
            <w:r w:rsidRPr="436E9498">
              <w:rPr>
                <w:rFonts w:ascii="Calibri" w:eastAsia="Calibri" w:hAnsi="Calibri" w:cs="Calibri"/>
                <w:color w:val="000000" w:themeColor="text1"/>
                <w:sz w:val="20"/>
                <w:szCs w:val="20"/>
              </w:rPr>
              <w:t>9.2</w:t>
            </w:r>
          </w:p>
        </w:tc>
        <w:tc>
          <w:tcPr>
            <w:tcW w:w="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741EEB6D" w14:textId="6B0DB92C" w:rsidR="436E9498" w:rsidRDefault="436E9498" w:rsidP="436E9498">
            <w:pPr>
              <w:rPr>
                <w:rFonts w:ascii="Calibri" w:eastAsia="Calibri" w:hAnsi="Calibri" w:cs="Calibri"/>
                <w:color w:val="000000" w:themeColor="text1"/>
                <w:sz w:val="20"/>
                <w:szCs w:val="20"/>
              </w:rPr>
            </w:pPr>
            <w:r w:rsidRPr="436E9498">
              <w:rPr>
                <w:rFonts w:ascii="Calibri" w:eastAsia="Calibri" w:hAnsi="Calibri" w:cs="Calibri"/>
                <w:color w:val="000000" w:themeColor="text1"/>
                <w:sz w:val="20"/>
                <w:szCs w:val="20"/>
              </w:rPr>
              <w:t>8.7</w:t>
            </w:r>
          </w:p>
        </w:tc>
        <w:tc>
          <w:tcPr>
            <w:tcW w:w="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6CC861AD" w14:textId="23310E4B" w:rsidR="436E9498" w:rsidRDefault="436E9498" w:rsidP="436E9498">
            <w:pPr>
              <w:rPr>
                <w:rFonts w:ascii="Calibri" w:eastAsia="Calibri" w:hAnsi="Calibri" w:cs="Calibri"/>
                <w:color w:val="000000" w:themeColor="text1"/>
                <w:sz w:val="20"/>
                <w:szCs w:val="20"/>
              </w:rPr>
            </w:pPr>
            <w:r w:rsidRPr="436E9498">
              <w:rPr>
                <w:rFonts w:ascii="Calibri" w:eastAsia="Calibri" w:hAnsi="Calibri" w:cs="Calibri"/>
                <w:color w:val="000000" w:themeColor="text1"/>
                <w:sz w:val="20"/>
                <w:szCs w:val="20"/>
              </w:rPr>
              <w:t>7.6</w:t>
            </w:r>
          </w:p>
        </w:tc>
        <w:tc>
          <w:tcPr>
            <w:tcW w:w="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5ED0507F" w14:textId="3A3F1A4E" w:rsidR="436E9498" w:rsidRDefault="436E9498" w:rsidP="436E9498">
            <w:pPr>
              <w:rPr>
                <w:rFonts w:ascii="Calibri" w:eastAsia="Calibri" w:hAnsi="Calibri" w:cs="Calibri"/>
                <w:color w:val="000000" w:themeColor="text1"/>
                <w:sz w:val="20"/>
                <w:szCs w:val="20"/>
              </w:rPr>
            </w:pPr>
            <w:r w:rsidRPr="436E9498">
              <w:rPr>
                <w:rFonts w:ascii="Calibri" w:eastAsia="Calibri" w:hAnsi="Calibri" w:cs="Calibri"/>
                <w:color w:val="000000" w:themeColor="text1"/>
                <w:sz w:val="20"/>
                <w:szCs w:val="20"/>
              </w:rPr>
              <w:t>6.8</w:t>
            </w:r>
          </w:p>
        </w:tc>
        <w:tc>
          <w:tcPr>
            <w:tcW w:w="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6414629B" w14:textId="2D8257C5" w:rsidR="436E9498" w:rsidRDefault="436E9498" w:rsidP="436E9498">
            <w:pPr>
              <w:rPr>
                <w:rFonts w:ascii="Calibri" w:eastAsia="Calibri" w:hAnsi="Calibri" w:cs="Calibri"/>
                <w:color w:val="000000" w:themeColor="text1"/>
                <w:sz w:val="20"/>
                <w:szCs w:val="20"/>
              </w:rPr>
            </w:pPr>
            <w:r w:rsidRPr="436E9498">
              <w:rPr>
                <w:rFonts w:ascii="Calibri" w:eastAsia="Calibri" w:hAnsi="Calibri" w:cs="Calibri"/>
                <w:color w:val="000000" w:themeColor="text1"/>
                <w:sz w:val="20"/>
                <w:szCs w:val="20"/>
              </w:rPr>
              <w:t>6.0</w:t>
            </w:r>
          </w:p>
        </w:tc>
        <w:tc>
          <w:tcPr>
            <w:tcW w:w="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25CB42F3" w14:textId="404C3253" w:rsidR="436E9498" w:rsidRDefault="436E9498" w:rsidP="436E9498">
            <w:pPr>
              <w:rPr>
                <w:rFonts w:ascii="Calibri" w:eastAsia="Calibri" w:hAnsi="Calibri" w:cs="Calibri"/>
                <w:color w:val="000000" w:themeColor="text1"/>
                <w:sz w:val="20"/>
                <w:szCs w:val="20"/>
              </w:rPr>
            </w:pPr>
            <w:r w:rsidRPr="436E9498">
              <w:rPr>
                <w:rFonts w:ascii="Calibri" w:eastAsia="Calibri" w:hAnsi="Calibri" w:cs="Calibri"/>
                <w:color w:val="000000" w:themeColor="text1"/>
                <w:sz w:val="20"/>
                <w:szCs w:val="20"/>
              </w:rPr>
              <w:t>4.0</w:t>
            </w:r>
          </w:p>
        </w:tc>
        <w:tc>
          <w:tcPr>
            <w:tcW w:w="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204BD5F1" w14:textId="70D29C23" w:rsidR="436E9498" w:rsidRDefault="436E9498" w:rsidP="436E9498">
            <w:pPr>
              <w:rPr>
                <w:rFonts w:ascii="Calibri" w:eastAsia="Calibri" w:hAnsi="Calibri" w:cs="Calibri"/>
                <w:color w:val="000000" w:themeColor="text1"/>
                <w:sz w:val="20"/>
                <w:szCs w:val="20"/>
              </w:rPr>
            </w:pPr>
            <w:r w:rsidRPr="436E9498">
              <w:rPr>
                <w:rFonts w:ascii="Calibri" w:eastAsia="Calibri" w:hAnsi="Calibri" w:cs="Calibri"/>
                <w:color w:val="000000" w:themeColor="text1"/>
                <w:sz w:val="20"/>
                <w:szCs w:val="20"/>
              </w:rPr>
              <w:t>7.2</w:t>
            </w:r>
          </w:p>
        </w:tc>
        <w:tc>
          <w:tcPr>
            <w:tcW w:w="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0DEB91E3" w14:textId="1AA1CA06" w:rsidR="436E9498" w:rsidRDefault="436E9498" w:rsidP="436E9498">
            <w:pPr>
              <w:rPr>
                <w:rFonts w:ascii="Calibri" w:eastAsia="Calibri" w:hAnsi="Calibri" w:cs="Calibri"/>
                <w:color w:val="000000" w:themeColor="text1"/>
                <w:sz w:val="20"/>
                <w:szCs w:val="20"/>
              </w:rPr>
            </w:pPr>
            <w:r w:rsidRPr="436E9498">
              <w:rPr>
                <w:rFonts w:ascii="Calibri" w:eastAsia="Calibri" w:hAnsi="Calibri" w:cs="Calibri"/>
                <w:color w:val="000000" w:themeColor="text1"/>
                <w:sz w:val="20"/>
                <w:szCs w:val="20"/>
              </w:rPr>
              <w:t>7.7</w:t>
            </w:r>
          </w:p>
        </w:tc>
        <w:tc>
          <w:tcPr>
            <w:tcW w:w="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2D3333E1" w14:textId="4F21353C" w:rsidR="436E9498" w:rsidRDefault="436E9498" w:rsidP="436E9498">
            <w:pPr>
              <w:rPr>
                <w:rFonts w:ascii="Calibri" w:eastAsia="Calibri" w:hAnsi="Calibri" w:cs="Calibri"/>
                <w:color w:val="000000" w:themeColor="text1"/>
                <w:sz w:val="20"/>
                <w:szCs w:val="20"/>
              </w:rPr>
            </w:pPr>
            <w:r w:rsidRPr="436E9498">
              <w:rPr>
                <w:rFonts w:ascii="Calibri" w:eastAsia="Calibri" w:hAnsi="Calibri" w:cs="Calibri"/>
                <w:color w:val="000000" w:themeColor="text1"/>
                <w:sz w:val="20"/>
                <w:szCs w:val="20"/>
              </w:rPr>
              <w:t>6.2</w:t>
            </w:r>
          </w:p>
        </w:tc>
        <w:tc>
          <w:tcPr>
            <w:tcW w:w="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4543DF3A" w14:textId="39ACC6DF" w:rsidR="436E9498" w:rsidRDefault="436E9498" w:rsidP="436E9498">
            <w:pPr>
              <w:rPr>
                <w:rFonts w:ascii="Calibri" w:eastAsia="Calibri" w:hAnsi="Calibri" w:cs="Calibri"/>
                <w:color w:val="000000" w:themeColor="text1"/>
                <w:sz w:val="20"/>
                <w:szCs w:val="20"/>
              </w:rPr>
            </w:pPr>
            <w:r w:rsidRPr="436E9498">
              <w:rPr>
                <w:rFonts w:ascii="Calibri" w:eastAsia="Calibri" w:hAnsi="Calibri" w:cs="Calibri"/>
                <w:color w:val="000000" w:themeColor="text1"/>
                <w:sz w:val="20"/>
                <w:szCs w:val="20"/>
              </w:rPr>
              <w:t>5.7</w:t>
            </w:r>
          </w:p>
        </w:tc>
      </w:tr>
    </w:tbl>
    <w:p w14:paraId="7AB5ADB0" w14:textId="05F77AED" w:rsidR="436E9498" w:rsidRDefault="436E9498" w:rsidP="436E9498">
      <w:pPr>
        <w:pStyle w:val="Body"/>
      </w:pPr>
    </w:p>
    <w:p w14:paraId="40D6F535" w14:textId="42109B6E" w:rsidR="34DD2977" w:rsidRDefault="34DD2977" w:rsidP="436E9498">
      <w:pPr>
        <w:pStyle w:val="Body"/>
        <w:rPr>
          <w:rFonts w:ascii="Arial" w:eastAsia="Arial" w:hAnsi="Arial" w:cs="Arial"/>
        </w:rPr>
      </w:pPr>
      <w:r w:rsidRPr="436E9498">
        <w:rPr>
          <w:rFonts w:ascii="Arial" w:eastAsia="Arial" w:hAnsi="Arial" w:cs="Arial"/>
        </w:rPr>
        <w:t xml:space="preserve">Table showing the last 12 months value for </w:t>
      </w:r>
      <w:r w:rsidR="67391402" w:rsidRPr="436E9498">
        <w:rPr>
          <w:rFonts w:ascii="Arial" w:eastAsia="Arial" w:hAnsi="Arial" w:cs="Arial"/>
        </w:rPr>
        <w:t>MKUH HSMR and</w:t>
      </w:r>
      <w:r w:rsidRPr="436E9498">
        <w:rPr>
          <w:rFonts w:ascii="Arial" w:eastAsia="Arial" w:hAnsi="Arial" w:cs="Arial"/>
        </w:rPr>
        <w:t xml:space="preserve"> rolling 12-month HSMR average</w:t>
      </w:r>
      <w:r w:rsidR="6FAA14A7" w:rsidRPr="436E9498">
        <w:rPr>
          <w:rFonts w:ascii="Arial" w:eastAsia="Arial" w:hAnsi="Arial" w:cs="Arial"/>
        </w:rPr>
        <w:t xml:space="preserve"> in comparison to National Peer values.</w:t>
      </w:r>
    </w:p>
    <w:p w14:paraId="7CEFBC12" w14:textId="3FFD6E3D" w:rsidR="436E9498" w:rsidRDefault="436E9498" w:rsidP="436E9498">
      <w:pPr>
        <w:pStyle w:val="Body"/>
      </w:pPr>
    </w:p>
    <w:p w14:paraId="1BF50CCB" w14:textId="1E8EC57F" w:rsidR="436E9498" w:rsidRDefault="436E9498" w:rsidP="436E9498">
      <w:pPr>
        <w:pStyle w:val="Body"/>
      </w:pPr>
    </w:p>
    <w:p w14:paraId="380B5886" w14:textId="77777777" w:rsidR="00E7079D" w:rsidRDefault="436E9498">
      <w:pPr>
        <w:pStyle w:val="Body"/>
        <w:spacing w:after="200" w:line="276" w:lineRule="auto"/>
        <w:rPr>
          <w:rFonts w:ascii="Arial" w:eastAsia="Arial" w:hAnsi="Arial" w:cs="Arial"/>
          <w:b/>
          <w:bCs/>
        </w:rPr>
      </w:pPr>
      <w:r w:rsidRPr="436E9498">
        <w:rPr>
          <w:rFonts w:ascii="Arial" w:hAnsi="Arial"/>
          <w:b/>
          <w:bCs/>
        </w:rPr>
        <w:t>HSMR, monthly</w:t>
      </w:r>
    </w:p>
    <w:p w14:paraId="171A70FC" w14:textId="1B9DBAA4" w:rsidR="436E9498" w:rsidRDefault="436E9498" w:rsidP="436E9498">
      <w:pPr>
        <w:pStyle w:val="Body"/>
      </w:pPr>
    </w:p>
    <w:p w14:paraId="19DE86A0" w14:textId="5925D3C0" w:rsidR="475A875D" w:rsidRDefault="475A875D" w:rsidP="436E9498">
      <w:pPr>
        <w:pStyle w:val="Body"/>
      </w:pPr>
      <w:r>
        <w:rPr>
          <w:noProof/>
        </w:rPr>
        <w:drawing>
          <wp:inline distT="0" distB="0" distL="0" distR="0" wp14:anchorId="5B8B415C" wp14:editId="302B4A43">
            <wp:extent cx="6514353" cy="2076450"/>
            <wp:effectExtent l="0" t="0" r="0" b="0"/>
            <wp:docPr id="61930142" name="Picture 61930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6514353" cy="2076450"/>
                    </a:xfrm>
                    <a:prstGeom prst="rect">
                      <a:avLst/>
                    </a:prstGeom>
                  </pic:spPr>
                </pic:pic>
              </a:graphicData>
            </a:graphic>
          </wp:inline>
        </w:drawing>
      </w:r>
    </w:p>
    <w:p w14:paraId="4EEBA2AD" w14:textId="3089C35A" w:rsidR="436E9498" w:rsidRDefault="436E9498" w:rsidP="436E9498">
      <w:pPr>
        <w:pStyle w:val="Body"/>
      </w:pPr>
    </w:p>
    <w:p w14:paraId="69F1569F" w14:textId="2E41D1D8" w:rsidR="4039EA69" w:rsidRDefault="4039EA69" w:rsidP="436E9498">
      <w:pPr>
        <w:pStyle w:val="BodyA"/>
        <w:spacing w:after="200" w:line="276" w:lineRule="auto"/>
        <w:jc w:val="both"/>
        <w:rPr>
          <w:color w:val="000000" w:themeColor="text1"/>
          <w:sz w:val="24"/>
          <w:szCs w:val="24"/>
        </w:rPr>
      </w:pPr>
      <w:r w:rsidRPr="436E9498">
        <w:rPr>
          <w:color w:val="000000" w:themeColor="text1"/>
          <w:sz w:val="24"/>
          <w:szCs w:val="24"/>
        </w:rPr>
        <w:t>Line g</w:t>
      </w:r>
      <w:r w:rsidR="475A875D" w:rsidRPr="436E9498">
        <w:rPr>
          <w:color w:val="000000" w:themeColor="text1"/>
          <w:sz w:val="24"/>
          <w:szCs w:val="24"/>
        </w:rPr>
        <w:t>raph showing MKUH HSMR</w:t>
      </w:r>
      <w:r w:rsidR="13941D39" w:rsidRPr="436E9498">
        <w:rPr>
          <w:color w:val="000000" w:themeColor="text1"/>
          <w:sz w:val="24"/>
          <w:szCs w:val="24"/>
        </w:rPr>
        <w:t xml:space="preserve"> </w:t>
      </w:r>
      <w:r w:rsidR="78E77126" w:rsidRPr="436E9498">
        <w:rPr>
          <w:color w:val="000000" w:themeColor="text1"/>
          <w:sz w:val="24"/>
          <w:szCs w:val="24"/>
        </w:rPr>
        <w:t xml:space="preserve">(blue) </w:t>
      </w:r>
      <w:r w:rsidR="0DB1B8F7" w:rsidRPr="436E9498">
        <w:rPr>
          <w:color w:val="000000" w:themeColor="text1"/>
          <w:sz w:val="24"/>
          <w:szCs w:val="24"/>
        </w:rPr>
        <w:t>broadly</w:t>
      </w:r>
      <w:r w:rsidR="686F00E2" w:rsidRPr="436E9498">
        <w:rPr>
          <w:color w:val="000000" w:themeColor="text1"/>
          <w:sz w:val="24"/>
          <w:szCs w:val="24"/>
        </w:rPr>
        <w:t xml:space="preserve"> tracking the national peer average. </w:t>
      </w:r>
      <w:r w:rsidR="20EF2240" w:rsidRPr="436E9498">
        <w:rPr>
          <w:color w:val="000000" w:themeColor="text1"/>
          <w:sz w:val="24"/>
          <w:szCs w:val="24"/>
        </w:rPr>
        <w:t xml:space="preserve">The </w:t>
      </w:r>
      <w:r w:rsidR="686F00E2" w:rsidRPr="436E9498">
        <w:rPr>
          <w:color w:val="000000" w:themeColor="text1"/>
          <w:sz w:val="24"/>
          <w:szCs w:val="24"/>
        </w:rPr>
        <w:t>Augu</w:t>
      </w:r>
      <w:r w:rsidR="651D1DF9" w:rsidRPr="436E9498">
        <w:rPr>
          <w:color w:val="000000" w:themeColor="text1"/>
          <w:sz w:val="24"/>
          <w:szCs w:val="24"/>
        </w:rPr>
        <w:t>s</w:t>
      </w:r>
      <w:r w:rsidR="686F00E2" w:rsidRPr="436E9498">
        <w:rPr>
          <w:color w:val="000000" w:themeColor="text1"/>
          <w:sz w:val="24"/>
          <w:szCs w:val="24"/>
        </w:rPr>
        <w:t xml:space="preserve">t value is </w:t>
      </w:r>
      <w:r w:rsidR="57F359E0" w:rsidRPr="436E9498">
        <w:rPr>
          <w:color w:val="000000" w:themeColor="text1"/>
          <w:sz w:val="24"/>
          <w:szCs w:val="24"/>
        </w:rPr>
        <w:t xml:space="preserve">zero </w:t>
      </w:r>
      <w:r w:rsidR="686F00E2" w:rsidRPr="436E9498">
        <w:rPr>
          <w:color w:val="000000" w:themeColor="text1"/>
          <w:sz w:val="24"/>
          <w:szCs w:val="24"/>
        </w:rPr>
        <w:t>due to insufficient coding</w:t>
      </w:r>
      <w:r w:rsidR="203977B6" w:rsidRPr="436E9498">
        <w:rPr>
          <w:color w:val="000000" w:themeColor="text1"/>
          <w:sz w:val="24"/>
          <w:szCs w:val="24"/>
        </w:rPr>
        <w:t xml:space="preserve"> for that month.</w:t>
      </w:r>
    </w:p>
    <w:p w14:paraId="24C54237" w14:textId="24480C9F" w:rsidR="436E9498" w:rsidRDefault="436E9498" w:rsidP="436E9498">
      <w:pPr>
        <w:pStyle w:val="BodyA"/>
        <w:spacing w:after="200" w:line="276" w:lineRule="auto"/>
        <w:jc w:val="both"/>
        <w:rPr>
          <w:b/>
          <w:bCs/>
          <w:color w:val="000000" w:themeColor="text1"/>
          <w:sz w:val="24"/>
          <w:szCs w:val="24"/>
        </w:rPr>
      </w:pPr>
    </w:p>
    <w:p w14:paraId="412E936E" w14:textId="77777777" w:rsidR="00E7079D" w:rsidRDefault="436E9498">
      <w:pPr>
        <w:pStyle w:val="BodyA"/>
        <w:spacing w:after="200" w:line="276" w:lineRule="auto"/>
        <w:jc w:val="both"/>
      </w:pPr>
      <w:r>
        <w:rPr>
          <w:b/>
          <w:bCs/>
          <w:sz w:val="24"/>
          <w:szCs w:val="24"/>
        </w:rPr>
        <w:t>HSMR, national peer comparison</w:t>
      </w:r>
    </w:p>
    <w:p w14:paraId="16287F21" w14:textId="061EEFA6" w:rsidR="00E7079D" w:rsidRDefault="7655678B" w:rsidP="436E9498">
      <w:pPr>
        <w:pStyle w:val="BodyA"/>
        <w:spacing w:after="200" w:line="276" w:lineRule="auto"/>
      </w:pPr>
      <w:r>
        <w:rPr>
          <w:noProof/>
        </w:rPr>
        <w:drawing>
          <wp:inline distT="0" distB="0" distL="0" distR="0" wp14:anchorId="3700DA53" wp14:editId="5AE44C0E">
            <wp:extent cx="6788040" cy="2050554"/>
            <wp:effectExtent l="0" t="0" r="0" b="0"/>
            <wp:docPr id="433089425" name="Picture 433089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6788040" cy="2050554"/>
                    </a:xfrm>
                    <a:prstGeom prst="rect">
                      <a:avLst/>
                    </a:prstGeom>
                  </pic:spPr>
                </pic:pic>
              </a:graphicData>
            </a:graphic>
          </wp:inline>
        </w:drawing>
      </w:r>
    </w:p>
    <w:p w14:paraId="5BE93A62" w14:textId="3DBC1042" w:rsidR="00E7079D" w:rsidRDefault="7655678B">
      <w:pPr>
        <w:pStyle w:val="BodyA"/>
        <w:spacing w:after="200" w:line="276" w:lineRule="auto"/>
        <w:jc w:val="both"/>
        <w:rPr>
          <w:b/>
          <w:bCs/>
          <w:sz w:val="24"/>
          <w:szCs w:val="24"/>
        </w:rPr>
      </w:pPr>
      <w:r w:rsidRPr="436E9498">
        <w:rPr>
          <w:sz w:val="24"/>
          <w:szCs w:val="24"/>
        </w:rPr>
        <w:t>Bar graph showing MKUH HSMR (blue) in comparison to other Trusts.</w:t>
      </w:r>
    </w:p>
    <w:p w14:paraId="2A1F701D" w14:textId="22D4C31D" w:rsidR="00E7079D" w:rsidRDefault="00E7079D">
      <w:pPr>
        <w:pStyle w:val="BodyA"/>
        <w:spacing w:after="200" w:line="276" w:lineRule="auto"/>
        <w:jc w:val="both"/>
        <w:rPr>
          <w:b/>
          <w:bCs/>
          <w:sz w:val="24"/>
          <w:szCs w:val="24"/>
        </w:rPr>
      </w:pPr>
    </w:p>
    <w:p w14:paraId="37077779" w14:textId="77777777" w:rsidR="00E7079D" w:rsidRDefault="00AB3E57">
      <w:pPr>
        <w:pStyle w:val="BodyA"/>
        <w:spacing w:after="200" w:line="276" w:lineRule="auto"/>
        <w:jc w:val="both"/>
        <w:rPr>
          <w:b/>
          <w:bCs/>
          <w:sz w:val="24"/>
          <w:szCs w:val="24"/>
        </w:rPr>
      </w:pPr>
      <w:r>
        <w:rPr>
          <w:b/>
          <w:bCs/>
          <w:sz w:val="24"/>
          <w:szCs w:val="24"/>
        </w:rPr>
        <w:t>Appendix 2c</w:t>
      </w:r>
    </w:p>
    <w:p w14:paraId="6A491B72" w14:textId="77777777" w:rsidR="00E7079D" w:rsidRDefault="436E9498">
      <w:pPr>
        <w:pStyle w:val="BodyA"/>
        <w:spacing w:after="200" w:line="276" w:lineRule="auto"/>
        <w:jc w:val="both"/>
        <w:rPr>
          <w:b/>
          <w:bCs/>
          <w:sz w:val="24"/>
          <w:szCs w:val="24"/>
        </w:rPr>
      </w:pPr>
      <w:r w:rsidRPr="436E9498">
        <w:rPr>
          <w:b/>
          <w:bCs/>
          <w:sz w:val="24"/>
          <w:szCs w:val="24"/>
        </w:rPr>
        <w:t>SHMI</w:t>
      </w:r>
    </w:p>
    <w:tbl>
      <w:tblPr>
        <w:tblW w:w="0" w:type="auto"/>
        <w:tblLayout w:type="fixed"/>
        <w:tblLook w:val="06A0" w:firstRow="1" w:lastRow="0" w:firstColumn="1" w:lastColumn="0" w:noHBand="1" w:noVBand="1"/>
      </w:tblPr>
      <w:tblGrid>
        <w:gridCol w:w="3065"/>
        <w:gridCol w:w="635"/>
        <w:gridCol w:w="635"/>
        <w:gridCol w:w="635"/>
        <w:gridCol w:w="635"/>
        <w:gridCol w:w="635"/>
        <w:gridCol w:w="635"/>
        <w:gridCol w:w="635"/>
        <w:gridCol w:w="635"/>
        <w:gridCol w:w="635"/>
        <w:gridCol w:w="635"/>
        <w:gridCol w:w="635"/>
        <w:gridCol w:w="635"/>
      </w:tblGrid>
      <w:tr w:rsidR="436E9498" w14:paraId="5F4345AC" w14:textId="77777777" w:rsidTr="436E9498">
        <w:trPr>
          <w:trHeight w:val="180"/>
        </w:trPr>
        <w:tc>
          <w:tcPr>
            <w:tcW w:w="30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CE5D1"/>
            <w:tcMar>
              <w:left w:w="30" w:type="dxa"/>
              <w:bottom w:w="30" w:type="dxa"/>
              <w:right w:w="30" w:type="dxa"/>
            </w:tcMar>
            <w:vAlign w:val="bottom"/>
          </w:tcPr>
          <w:p w14:paraId="64C1636E" w14:textId="6CCFF7B7" w:rsidR="436E9498" w:rsidRDefault="436E9498" w:rsidP="436E9498">
            <w:pPr>
              <w:rPr>
                <w:rFonts w:ascii="Calibri" w:eastAsia="Calibri" w:hAnsi="Calibri" w:cs="Calibri"/>
                <w:b/>
                <w:bCs/>
                <w:color w:val="000000" w:themeColor="text1"/>
                <w:sz w:val="20"/>
                <w:szCs w:val="20"/>
              </w:rPr>
            </w:pPr>
            <w:r w:rsidRPr="436E9498">
              <w:rPr>
                <w:rFonts w:ascii="Calibri" w:eastAsia="Calibri" w:hAnsi="Calibri" w:cs="Calibri"/>
                <w:b/>
                <w:bCs/>
                <w:color w:val="000000" w:themeColor="text1"/>
                <w:sz w:val="20"/>
                <w:szCs w:val="20"/>
              </w:rPr>
              <w:t>SHMI</w:t>
            </w:r>
          </w:p>
        </w:tc>
        <w:tc>
          <w:tcPr>
            <w:tcW w:w="6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CE5D1"/>
            <w:tcMar>
              <w:left w:w="30" w:type="dxa"/>
              <w:bottom w:w="30" w:type="dxa"/>
              <w:right w:w="30" w:type="dxa"/>
            </w:tcMar>
            <w:vAlign w:val="bottom"/>
          </w:tcPr>
          <w:p w14:paraId="517DAEE5" w14:textId="179E6E7C" w:rsidR="436E9498" w:rsidRDefault="436E9498" w:rsidP="436E9498">
            <w:pPr>
              <w:rPr>
                <w:rFonts w:ascii="Calibri" w:eastAsia="Calibri" w:hAnsi="Calibri" w:cs="Calibri"/>
                <w:b/>
                <w:bCs/>
                <w:color w:val="000000" w:themeColor="text1"/>
                <w:sz w:val="20"/>
                <w:szCs w:val="20"/>
              </w:rPr>
            </w:pPr>
            <w:r w:rsidRPr="436E9498">
              <w:rPr>
                <w:rFonts w:ascii="Calibri" w:eastAsia="Calibri" w:hAnsi="Calibri" w:cs="Calibri"/>
                <w:b/>
                <w:bCs/>
                <w:color w:val="000000" w:themeColor="text1"/>
                <w:sz w:val="20"/>
                <w:szCs w:val="20"/>
              </w:rPr>
              <w:t>Jun-22</w:t>
            </w:r>
          </w:p>
        </w:tc>
        <w:tc>
          <w:tcPr>
            <w:tcW w:w="6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CE5D1"/>
            <w:tcMar>
              <w:left w:w="30" w:type="dxa"/>
              <w:bottom w:w="30" w:type="dxa"/>
              <w:right w:w="30" w:type="dxa"/>
            </w:tcMar>
            <w:vAlign w:val="bottom"/>
          </w:tcPr>
          <w:p w14:paraId="7FB76099" w14:textId="634F5085" w:rsidR="436E9498" w:rsidRDefault="436E9498" w:rsidP="436E9498">
            <w:pPr>
              <w:rPr>
                <w:rFonts w:ascii="Calibri" w:eastAsia="Calibri" w:hAnsi="Calibri" w:cs="Calibri"/>
                <w:b/>
                <w:bCs/>
                <w:color w:val="000000" w:themeColor="text1"/>
                <w:sz w:val="20"/>
                <w:szCs w:val="20"/>
              </w:rPr>
            </w:pPr>
            <w:r w:rsidRPr="436E9498">
              <w:rPr>
                <w:rFonts w:ascii="Calibri" w:eastAsia="Calibri" w:hAnsi="Calibri" w:cs="Calibri"/>
                <w:b/>
                <w:bCs/>
                <w:color w:val="000000" w:themeColor="text1"/>
                <w:sz w:val="20"/>
                <w:szCs w:val="20"/>
              </w:rPr>
              <w:t>Jul-</w:t>
            </w:r>
            <w:r w:rsidR="222D986D" w:rsidRPr="436E9498">
              <w:rPr>
                <w:rFonts w:ascii="Calibri" w:eastAsia="Calibri" w:hAnsi="Calibri" w:cs="Calibri"/>
                <w:b/>
                <w:bCs/>
                <w:color w:val="000000" w:themeColor="text1"/>
                <w:sz w:val="20"/>
                <w:szCs w:val="20"/>
              </w:rPr>
              <w:t xml:space="preserve"> </w:t>
            </w:r>
            <w:r w:rsidRPr="436E9498">
              <w:rPr>
                <w:rFonts w:ascii="Calibri" w:eastAsia="Calibri" w:hAnsi="Calibri" w:cs="Calibri"/>
                <w:b/>
                <w:bCs/>
                <w:color w:val="000000" w:themeColor="text1"/>
                <w:sz w:val="20"/>
                <w:szCs w:val="20"/>
              </w:rPr>
              <w:t>22</w:t>
            </w:r>
          </w:p>
        </w:tc>
        <w:tc>
          <w:tcPr>
            <w:tcW w:w="6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CE5D1"/>
            <w:tcMar>
              <w:left w:w="30" w:type="dxa"/>
              <w:bottom w:w="30" w:type="dxa"/>
              <w:right w:w="30" w:type="dxa"/>
            </w:tcMar>
            <w:vAlign w:val="bottom"/>
          </w:tcPr>
          <w:p w14:paraId="206F8FE8" w14:textId="4B31E124" w:rsidR="436E9498" w:rsidRDefault="436E9498" w:rsidP="436E9498">
            <w:pPr>
              <w:rPr>
                <w:rFonts w:ascii="Calibri" w:eastAsia="Calibri" w:hAnsi="Calibri" w:cs="Calibri"/>
                <w:b/>
                <w:bCs/>
                <w:color w:val="000000" w:themeColor="text1"/>
                <w:sz w:val="20"/>
                <w:szCs w:val="20"/>
              </w:rPr>
            </w:pPr>
            <w:r w:rsidRPr="436E9498">
              <w:rPr>
                <w:rFonts w:ascii="Calibri" w:eastAsia="Calibri" w:hAnsi="Calibri" w:cs="Calibri"/>
                <w:b/>
                <w:bCs/>
                <w:color w:val="000000" w:themeColor="text1"/>
                <w:sz w:val="20"/>
                <w:szCs w:val="20"/>
              </w:rPr>
              <w:t>Aug-22</w:t>
            </w:r>
          </w:p>
        </w:tc>
        <w:tc>
          <w:tcPr>
            <w:tcW w:w="6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CE5D1"/>
            <w:tcMar>
              <w:left w:w="30" w:type="dxa"/>
              <w:bottom w:w="30" w:type="dxa"/>
              <w:right w:w="30" w:type="dxa"/>
            </w:tcMar>
            <w:vAlign w:val="bottom"/>
          </w:tcPr>
          <w:p w14:paraId="01208960" w14:textId="173A71E1" w:rsidR="436E9498" w:rsidRDefault="436E9498" w:rsidP="436E9498">
            <w:pPr>
              <w:rPr>
                <w:rFonts w:ascii="Calibri" w:eastAsia="Calibri" w:hAnsi="Calibri" w:cs="Calibri"/>
                <w:b/>
                <w:bCs/>
                <w:color w:val="000000" w:themeColor="text1"/>
                <w:sz w:val="20"/>
                <w:szCs w:val="20"/>
              </w:rPr>
            </w:pPr>
            <w:r w:rsidRPr="436E9498">
              <w:rPr>
                <w:rFonts w:ascii="Calibri" w:eastAsia="Calibri" w:hAnsi="Calibri" w:cs="Calibri"/>
                <w:b/>
                <w:bCs/>
                <w:color w:val="000000" w:themeColor="text1"/>
                <w:sz w:val="20"/>
                <w:szCs w:val="20"/>
              </w:rPr>
              <w:t>Sep-22</w:t>
            </w:r>
          </w:p>
        </w:tc>
        <w:tc>
          <w:tcPr>
            <w:tcW w:w="6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CE5D1"/>
            <w:tcMar>
              <w:left w:w="30" w:type="dxa"/>
              <w:bottom w:w="30" w:type="dxa"/>
              <w:right w:w="30" w:type="dxa"/>
            </w:tcMar>
            <w:vAlign w:val="bottom"/>
          </w:tcPr>
          <w:p w14:paraId="56D1E934" w14:textId="4EBD4C2F" w:rsidR="436E9498" w:rsidRDefault="436E9498" w:rsidP="436E9498">
            <w:pPr>
              <w:rPr>
                <w:rFonts w:ascii="Calibri" w:eastAsia="Calibri" w:hAnsi="Calibri" w:cs="Calibri"/>
                <w:b/>
                <w:bCs/>
                <w:color w:val="000000" w:themeColor="text1"/>
                <w:sz w:val="20"/>
                <w:szCs w:val="20"/>
              </w:rPr>
            </w:pPr>
            <w:r w:rsidRPr="436E9498">
              <w:rPr>
                <w:rFonts w:ascii="Calibri" w:eastAsia="Calibri" w:hAnsi="Calibri" w:cs="Calibri"/>
                <w:b/>
                <w:bCs/>
                <w:color w:val="000000" w:themeColor="text1"/>
                <w:sz w:val="20"/>
                <w:szCs w:val="20"/>
              </w:rPr>
              <w:t>Oct-22</w:t>
            </w:r>
          </w:p>
        </w:tc>
        <w:tc>
          <w:tcPr>
            <w:tcW w:w="6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CE5D1"/>
            <w:tcMar>
              <w:left w:w="30" w:type="dxa"/>
              <w:bottom w:w="30" w:type="dxa"/>
              <w:right w:w="30" w:type="dxa"/>
            </w:tcMar>
            <w:vAlign w:val="bottom"/>
          </w:tcPr>
          <w:p w14:paraId="464F098E" w14:textId="23211C2C" w:rsidR="436E9498" w:rsidRDefault="436E9498" w:rsidP="436E9498">
            <w:pPr>
              <w:rPr>
                <w:rFonts w:ascii="Calibri" w:eastAsia="Calibri" w:hAnsi="Calibri" w:cs="Calibri"/>
                <w:b/>
                <w:bCs/>
                <w:color w:val="000000" w:themeColor="text1"/>
                <w:sz w:val="20"/>
                <w:szCs w:val="20"/>
              </w:rPr>
            </w:pPr>
            <w:r w:rsidRPr="436E9498">
              <w:rPr>
                <w:rFonts w:ascii="Calibri" w:eastAsia="Calibri" w:hAnsi="Calibri" w:cs="Calibri"/>
                <w:b/>
                <w:bCs/>
                <w:color w:val="000000" w:themeColor="text1"/>
                <w:sz w:val="20"/>
                <w:szCs w:val="20"/>
              </w:rPr>
              <w:t>Nov-22</w:t>
            </w:r>
          </w:p>
        </w:tc>
        <w:tc>
          <w:tcPr>
            <w:tcW w:w="6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CE5D1"/>
            <w:tcMar>
              <w:left w:w="30" w:type="dxa"/>
              <w:bottom w:w="30" w:type="dxa"/>
              <w:right w:w="30" w:type="dxa"/>
            </w:tcMar>
            <w:vAlign w:val="bottom"/>
          </w:tcPr>
          <w:p w14:paraId="57860346" w14:textId="774CE289" w:rsidR="436E9498" w:rsidRDefault="436E9498" w:rsidP="436E9498">
            <w:pPr>
              <w:rPr>
                <w:rFonts w:ascii="Calibri" w:eastAsia="Calibri" w:hAnsi="Calibri" w:cs="Calibri"/>
                <w:b/>
                <w:bCs/>
                <w:color w:val="000000" w:themeColor="text1"/>
                <w:sz w:val="20"/>
                <w:szCs w:val="20"/>
              </w:rPr>
            </w:pPr>
            <w:r w:rsidRPr="436E9498">
              <w:rPr>
                <w:rFonts w:ascii="Calibri" w:eastAsia="Calibri" w:hAnsi="Calibri" w:cs="Calibri"/>
                <w:b/>
                <w:bCs/>
                <w:color w:val="000000" w:themeColor="text1"/>
                <w:sz w:val="20"/>
                <w:szCs w:val="20"/>
              </w:rPr>
              <w:t>Dec-22</w:t>
            </w:r>
          </w:p>
        </w:tc>
        <w:tc>
          <w:tcPr>
            <w:tcW w:w="6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CE5D1"/>
            <w:tcMar>
              <w:left w:w="30" w:type="dxa"/>
              <w:bottom w:w="30" w:type="dxa"/>
              <w:right w:w="30" w:type="dxa"/>
            </w:tcMar>
            <w:vAlign w:val="bottom"/>
          </w:tcPr>
          <w:p w14:paraId="0543B370" w14:textId="35EFD5A6" w:rsidR="436E9498" w:rsidRDefault="436E9498" w:rsidP="436E9498">
            <w:pPr>
              <w:rPr>
                <w:rFonts w:ascii="Calibri" w:eastAsia="Calibri" w:hAnsi="Calibri" w:cs="Calibri"/>
                <w:b/>
                <w:bCs/>
                <w:color w:val="000000" w:themeColor="text1"/>
                <w:sz w:val="20"/>
                <w:szCs w:val="20"/>
              </w:rPr>
            </w:pPr>
            <w:r w:rsidRPr="436E9498">
              <w:rPr>
                <w:rFonts w:ascii="Calibri" w:eastAsia="Calibri" w:hAnsi="Calibri" w:cs="Calibri"/>
                <w:b/>
                <w:bCs/>
                <w:color w:val="000000" w:themeColor="text1"/>
                <w:sz w:val="20"/>
                <w:szCs w:val="20"/>
              </w:rPr>
              <w:t>Jan-23</w:t>
            </w:r>
          </w:p>
        </w:tc>
        <w:tc>
          <w:tcPr>
            <w:tcW w:w="6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CE5D1"/>
            <w:tcMar>
              <w:left w:w="30" w:type="dxa"/>
              <w:bottom w:w="30" w:type="dxa"/>
              <w:right w:w="30" w:type="dxa"/>
            </w:tcMar>
            <w:vAlign w:val="bottom"/>
          </w:tcPr>
          <w:p w14:paraId="3AF261C3" w14:textId="2BD01CB5" w:rsidR="436E9498" w:rsidRDefault="436E9498" w:rsidP="436E9498">
            <w:pPr>
              <w:rPr>
                <w:rFonts w:ascii="Calibri" w:eastAsia="Calibri" w:hAnsi="Calibri" w:cs="Calibri"/>
                <w:b/>
                <w:bCs/>
                <w:color w:val="000000" w:themeColor="text1"/>
                <w:sz w:val="20"/>
                <w:szCs w:val="20"/>
              </w:rPr>
            </w:pPr>
            <w:r w:rsidRPr="436E9498">
              <w:rPr>
                <w:rFonts w:ascii="Calibri" w:eastAsia="Calibri" w:hAnsi="Calibri" w:cs="Calibri"/>
                <w:b/>
                <w:bCs/>
                <w:color w:val="000000" w:themeColor="text1"/>
                <w:sz w:val="20"/>
                <w:szCs w:val="20"/>
              </w:rPr>
              <w:t>Feb-23</w:t>
            </w:r>
          </w:p>
        </w:tc>
        <w:tc>
          <w:tcPr>
            <w:tcW w:w="6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CE5D1"/>
            <w:tcMar>
              <w:left w:w="30" w:type="dxa"/>
              <w:bottom w:w="30" w:type="dxa"/>
              <w:right w:w="30" w:type="dxa"/>
            </w:tcMar>
            <w:vAlign w:val="bottom"/>
          </w:tcPr>
          <w:p w14:paraId="73EFB4A8" w14:textId="4E8AC57A" w:rsidR="436E9498" w:rsidRDefault="436E9498" w:rsidP="436E9498">
            <w:pPr>
              <w:rPr>
                <w:rFonts w:ascii="Calibri" w:eastAsia="Calibri" w:hAnsi="Calibri" w:cs="Calibri"/>
                <w:b/>
                <w:bCs/>
                <w:color w:val="000000" w:themeColor="text1"/>
                <w:sz w:val="20"/>
                <w:szCs w:val="20"/>
              </w:rPr>
            </w:pPr>
            <w:r w:rsidRPr="436E9498">
              <w:rPr>
                <w:rFonts w:ascii="Calibri" w:eastAsia="Calibri" w:hAnsi="Calibri" w:cs="Calibri"/>
                <w:b/>
                <w:bCs/>
                <w:color w:val="000000" w:themeColor="text1"/>
                <w:sz w:val="20"/>
                <w:szCs w:val="20"/>
              </w:rPr>
              <w:t>Mar-23</w:t>
            </w:r>
          </w:p>
        </w:tc>
        <w:tc>
          <w:tcPr>
            <w:tcW w:w="6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CE5D1"/>
            <w:tcMar>
              <w:left w:w="30" w:type="dxa"/>
              <w:bottom w:w="30" w:type="dxa"/>
              <w:right w:w="30" w:type="dxa"/>
            </w:tcMar>
            <w:vAlign w:val="bottom"/>
          </w:tcPr>
          <w:p w14:paraId="615141C8" w14:textId="74E58B0C" w:rsidR="436E9498" w:rsidRDefault="436E9498" w:rsidP="436E9498">
            <w:pPr>
              <w:rPr>
                <w:rFonts w:ascii="Calibri" w:eastAsia="Calibri" w:hAnsi="Calibri" w:cs="Calibri"/>
                <w:b/>
                <w:bCs/>
                <w:color w:val="000000" w:themeColor="text1"/>
                <w:sz w:val="20"/>
                <w:szCs w:val="20"/>
              </w:rPr>
            </w:pPr>
            <w:r w:rsidRPr="436E9498">
              <w:rPr>
                <w:rFonts w:ascii="Calibri" w:eastAsia="Calibri" w:hAnsi="Calibri" w:cs="Calibri"/>
                <w:b/>
                <w:bCs/>
                <w:color w:val="000000" w:themeColor="text1"/>
                <w:sz w:val="20"/>
                <w:szCs w:val="20"/>
              </w:rPr>
              <w:t>Apr-23</w:t>
            </w:r>
          </w:p>
        </w:tc>
        <w:tc>
          <w:tcPr>
            <w:tcW w:w="6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CE5D1"/>
            <w:tcMar>
              <w:left w:w="30" w:type="dxa"/>
              <w:bottom w:w="30" w:type="dxa"/>
              <w:right w:w="30" w:type="dxa"/>
            </w:tcMar>
            <w:vAlign w:val="bottom"/>
          </w:tcPr>
          <w:p w14:paraId="0412B696" w14:textId="2449D813" w:rsidR="436E9498" w:rsidRDefault="436E9498" w:rsidP="436E9498">
            <w:pPr>
              <w:rPr>
                <w:rFonts w:ascii="Calibri" w:eastAsia="Calibri" w:hAnsi="Calibri" w:cs="Calibri"/>
                <w:b/>
                <w:bCs/>
                <w:color w:val="000000" w:themeColor="text1"/>
                <w:sz w:val="20"/>
                <w:szCs w:val="20"/>
              </w:rPr>
            </w:pPr>
            <w:r w:rsidRPr="436E9498">
              <w:rPr>
                <w:rFonts w:ascii="Calibri" w:eastAsia="Calibri" w:hAnsi="Calibri" w:cs="Calibri"/>
                <w:b/>
                <w:bCs/>
                <w:color w:val="000000" w:themeColor="text1"/>
                <w:sz w:val="20"/>
                <w:szCs w:val="20"/>
              </w:rPr>
              <w:t>May-23</w:t>
            </w:r>
          </w:p>
        </w:tc>
      </w:tr>
      <w:tr w:rsidR="436E9498" w14:paraId="32586296" w14:textId="77777777" w:rsidTr="436E9498">
        <w:trPr>
          <w:trHeight w:val="165"/>
        </w:trPr>
        <w:tc>
          <w:tcPr>
            <w:tcW w:w="30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445AD672" w14:textId="0984CA7D" w:rsidR="436E9498" w:rsidRDefault="436E9498" w:rsidP="436E9498">
            <w:pPr>
              <w:rPr>
                <w:rFonts w:ascii="Calibri" w:eastAsia="Calibri" w:hAnsi="Calibri" w:cs="Calibri"/>
                <w:color w:val="000000" w:themeColor="text1"/>
                <w:sz w:val="20"/>
                <w:szCs w:val="20"/>
              </w:rPr>
            </w:pPr>
            <w:r w:rsidRPr="436E9498">
              <w:rPr>
                <w:rFonts w:ascii="Calibri" w:eastAsia="Calibri" w:hAnsi="Calibri" w:cs="Calibri"/>
                <w:color w:val="000000" w:themeColor="text1"/>
                <w:sz w:val="20"/>
                <w:szCs w:val="20"/>
              </w:rPr>
              <w:t>Trust Monthly</w:t>
            </w:r>
          </w:p>
        </w:tc>
        <w:tc>
          <w:tcPr>
            <w:tcW w:w="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31AFE037" w14:textId="47F2DD5B" w:rsidR="436E9498" w:rsidRDefault="436E9498" w:rsidP="436E9498">
            <w:pPr>
              <w:rPr>
                <w:rFonts w:ascii="Calibri" w:eastAsia="Calibri" w:hAnsi="Calibri" w:cs="Calibri"/>
                <w:color w:val="000000" w:themeColor="text1"/>
                <w:sz w:val="20"/>
                <w:szCs w:val="20"/>
              </w:rPr>
            </w:pPr>
            <w:r w:rsidRPr="436E9498">
              <w:rPr>
                <w:rFonts w:ascii="Calibri" w:eastAsia="Calibri" w:hAnsi="Calibri" w:cs="Calibri"/>
                <w:color w:val="000000" w:themeColor="text1"/>
                <w:sz w:val="20"/>
                <w:szCs w:val="20"/>
              </w:rPr>
              <w:t>104.6</w:t>
            </w:r>
          </w:p>
        </w:tc>
        <w:tc>
          <w:tcPr>
            <w:tcW w:w="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4A242A0B" w14:textId="1D0F47F1" w:rsidR="436E9498" w:rsidRDefault="436E9498" w:rsidP="436E9498">
            <w:pPr>
              <w:rPr>
                <w:rFonts w:ascii="Calibri" w:eastAsia="Calibri" w:hAnsi="Calibri" w:cs="Calibri"/>
                <w:color w:val="000000" w:themeColor="text1"/>
                <w:sz w:val="20"/>
                <w:szCs w:val="20"/>
              </w:rPr>
            </w:pPr>
            <w:r w:rsidRPr="436E9498">
              <w:rPr>
                <w:rFonts w:ascii="Calibri" w:eastAsia="Calibri" w:hAnsi="Calibri" w:cs="Calibri"/>
                <w:color w:val="000000" w:themeColor="text1"/>
                <w:sz w:val="20"/>
                <w:szCs w:val="20"/>
              </w:rPr>
              <w:t>116.7</w:t>
            </w:r>
          </w:p>
        </w:tc>
        <w:tc>
          <w:tcPr>
            <w:tcW w:w="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45D014A5" w14:textId="5ADA0D90" w:rsidR="436E9498" w:rsidRDefault="436E9498" w:rsidP="436E9498">
            <w:pPr>
              <w:rPr>
                <w:rFonts w:ascii="Calibri" w:eastAsia="Calibri" w:hAnsi="Calibri" w:cs="Calibri"/>
                <w:color w:val="000000" w:themeColor="text1"/>
                <w:sz w:val="20"/>
                <w:szCs w:val="20"/>
              </w:rPr>
            </w:pPr>
            <w:r w:rsidRPr="436E9498">
              <w:rPr>
                <w:rFonts w:ascii="Calibri" w:eastAsia="Calibri" w:hAnsi="Calibri" w:cs="Calibri"/>
                <w:color w:val="000000" w:themeColor="text1"/>
                <w:sz w:val="20"/>
                <w:szCs w:val="20"/>
              </w:rPr>
              <w:t>104.2</w:t>
            </w:r>
          </w:p>
        </w:tc>
        <w:tc>
          <w:tcPr>
            <w:tcW w:w="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4D1BA669" w14:textId="05CC249C" w:rsidR="436E9498" w:rsidRDefault="436E9498" w:rsidP="436E9498">
            <w:pPr>
              <w:rPr>
                <w:rFonts w:ascii="Calibri" w:eastAsia="Calibri" w:hAnsi="Calibri" w:cs="Calibri"/>
                <w:color w:val="000000" w:themeColor="text1"/>
                <w:sz w:val="20"/>
                <w:szCs w:val="20"/>
              </w:rPr>
            </w:pPr>
            <w:r w:rsidRPr="436E9498">
              <w:rPr>
                <w:rFonts w:ascii="Calibri" w:eastAsia="Calibri" w:hAnsi="Calibri" w:cs="Calibri"/>
                <w:color w:val="000000" w:themeColor="text1"/>
                <w:sz w:val="20"/>
                <w:szCs w:val="20"/>
              </w:rPr>
              <w:t>128.7</w:t>
            </w:r>
          </w:p>
        </w:tc>
        <w:tc>
          <w:tcPr>
            <w:tcW w:w="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28ABC1AC" w14:textId="74EEB833" w:rsidR="436E9498" w:rsidRDefault="436E9498" w:rsidP="436E9498">
            <w:pPr>
              <w:rPr>
                <w:rFonts w:ascii="Calibri" w:eastAsia="Calibri" w:hAnsi="Calibri" w:cs="Calibri"/>
                <w:color w:val="000000" w:themeColor="text1"/>
                <w:sz w:val="20"/>
                <w:szCs w:val="20"/>
              </w:rPr>
            </w:pPr>
            <w:r w:rsidRPr="436E9498">
              <w:rPr>
                <w:rFonts w:ascii="Calibri" w:eastAsia="Calibri" w:hAnsi="Calibri" w:cs="Calibri"/>
                <w:color w:val="000000" w:themeColor="text1"/>
                <w:sz w:val="20"/>
                <w:szCs w:val="20"/>
              </w:rPr>
              <w:t>119.9</w:t>
            </w:r>
          </w:p>
        </w:tc>
        <w:tc>
          <w:tcPr>
            <w:tcW w:w="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0B2F307A" w14:textId="7F6DC0B6" w:rsidR="436E9498" w:rsidRDefault="436E9498" w:rsidP="436E9498">
            <w:pPr>
              <w:rPr>
                <w:rFonts w:ascii="Calibri" w:eastAsia="Calibri" w:hAnsi="Calibri" w:cs="Calibri"/>
                <w:color w:val="000000" w:themeColor="text1"/>
                <w:sz w:val="20"/>
                <w:szCs w:val="20"/>
              </w:rPr>
            </w:pPr>
            <w:r w:rsidRPr="436E9498">
              <w:rPr>
                <w:rFonts w:ascii="Calibri" w:eastAsia="Calibri" w:hAnsi="Calibri" w:cs="Calibri"/>
                <w:color w:val="000000" w:themeColor="text1"/>
                <w:sz w:val="20"/>
                <w:szCs w:val="20"/>
              </w:rPr>
              <w:t>115.7</w:t>
            </w:r>
          </w:p>
        </w:tc>
        <w:tc>
          <w:tcPr>
            <w:tcW w:w="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21998BE5" w14:textId="082701E2" w:rsidR="436E9498" w:rsidRDefault="436E9498" w:rsidP="436E9498">
            <w:pPr>
              <w:rPr>
                <w:rFonts w:ascii="Calibri" w:eastAsia="Calibri" w:hAnsi="Calibri" w:cs="Calibri"/>
                <w:color w:val="000000" w:themeColor="text1"/>
                <w:sz w:val="20"/>
                <w:szCs w:val="20"/>
              </w:rPr>
            </w:pPr>
            <w:r w:rsidRPr="436E9498">
              <w:rPr>
                <w:rFonts w:ascii="Calibri" w:eastAsia="Calibri" w:hAnsi="Calibri" w:cs="Calibri"/>
                <w:color w:val="000000" w:themeColor="text1"/>
                <w:sz w:val="20"/>
                <w:szCs w:val="20"/>
              </w:rPr>
              <w:t>109.8</w:t>
            </w:r>
          </w:p>
        </w:tc>
        <w:tc>
          <w:tcPr>
            <w:tcW w:w="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73921619" w14:textId="277CF841" w:rsidR="436E9498" w:rsidRDefault="436E9498" w:rsidP="436E9498">
            <w:pPr>
              <w:rPr>
                <w:rFonts w:ascii="Calibri" w:eastAsia="Calibri" w:hAnsi="Calibri" w:cs="Calibri"/>
                <w:color w:val="000000" w:themeColor="text1"/>
                <w:sz w:val="20"/>
                <w:szCs w:val="20"/>
              </w:rPr>
            </w:pPr>
            <w:r w:rsidRPr="436E9498">
              <w:rPr>
                <w:rFonts w:ascii="Calibri" w:eastAsia="Calibri" w:hAnsi="Calibri" w:cs="Calibri"/>
                <w:color w:val="000000" w:themeColor="text1"/>
                <w:sz w:val="20"/>
                <w:szCs w:val="20"/>
              </w:rPr>
              <w:t>90.0</w:t>
            </w:r>
          </w:p>
        </w:tc>
        <w:tc>
          <w:tcPr>
            <w:tcW w:w="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3B360609" w14:textId="54F12E0E" w:rsidR="436E9498" w:rsidRDefault="436E9498" w:rsidP="436E9498">
            <w:pPr>
              <w:rPr>
                <w:rFonts w:ascii="Calibri" w:eastAsia="Calibri" w:hAnsi="Calibri" w:cs="Calibri"/>
                <w:color w:val="000000" w:themeColor="text1"/>
                <w:sz w:val="20"/>
                <w:szCs w:val="20"/>
              </w:rPr>
            </w:pPr>
            <w:r w:rsidRPr="436E9498">
              <w:rPr>
                <w:rFonts w:ascii="Calibri" w:eastAsia="Calibri" w:hAnsi="Calibri" w:cs="Calibri"/>
                <w:color w:val="000000" w:themeColor="text1"/>
                <w:sz w:val="20"/>
                <w:szCs w:val="20"/>
              </w:rPr>
              <w:t>81.6</w:t>
            </w:r>
          </w:p>
        </w:tc>
        <w:tc>
          <w:tcPr>
            <w:tcW w:w="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270E0FB3" w14:textId="57735DDF" w:rsidR="436E9498" w:rsidRDefault="436E9498" w:rsidP="436E9498">
            <w:pPr>
              <w:rPr>
                <w:rFonts w:ascii="Calibri" w:eastAsia="Calibri" w:hAnsi="Calibri" w:cs="Calibri"/>
                <w:color w:val="000000" w:themeColor="text1"/>
                <w:sz w:val="20"/>
                <w:szCs w:val="20"/>
              </w:rPr>
            </w:pPr>
            <w:r w:rsidRPr="436E9498">
              <w:rPr>
                <w:rFonts w:ascii="Calibri" w:eastAsia="Calibri" w:hAnsi="Calibri" w:cs="Calibri"/>
                <w:color w:val="000000" w:themeColor="text1"/>
                <w:sz w:val="20"/>
                <w:szCs w:val="20"/>
              </w:rPr>
              <w:t>87.6</w:t>
            </w:r>
          </w:p>
        </w:tc>
        <w:tc>
          <w:tcPr>
            <w:tcW w:w="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3063BB48" w14:textId="255F0EAD" w:rsidR="436E9498" w:rsidRDefault="436E9498" w:rsidP="436E9498">
            <w:pPr>
              <w:rPr>
                <w:rFonts w:ascii="Calibri" w:eastAsia="Calibri" w:hAnsi="Calibri" w:cs="Calibri"/>
                <w:color w:val="000000" w:themeColor="text1"/>
                <w:sz w:val="20"/>
                <w:szCs w:val="20"/>
              </w:rPr>
            </w:pPr>
            <w:r w:rsidRPr="436E9498">
              <w:rPr>
                <w:rFonts w:ascii="Calibri" w:eastAsia="Calibri" w:hAnsi="Calibri" w:cs="Calibri"/>
                <w:color w:val="000000" w:themeColor="text1"/>
                <w:sz w:val="20"/>
                <w:szCs w:val="20"/>
              </w:rPr>
              <w:t>94.6</w:t>
            </w:r>
          </w:p>
        </w:tc>
        <w:tc>
          <w:tcPr>
            <w:tcW w:w="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1C959C3E" w14:textId="173CC348" w:rsidR="436E9498" w:rsidRDefault="436E9498" w:rsidP="436E9498">
            <w:pPr>
              <w:rPr>
                <w:rFonts w:ascii="Calibri" w:eastAsia="Calibri" w:hAnsi="Calibri" w:cs="Calibri"/>
                <w:color w:val="000000" w:themeColor="text1"/>
                <w:sz w:val="20"/>
                <w:szCs w:val="20"/>
              </w:rPr>
            </w:pPr>
            <w:r w:rsidRPr="436E9498">
              <w:rPr>
                <w:rFonts w:ascii="Calibri" w:eastAsia="Calibri" w:hAnsi="Calibri" w:cs="Calibri"/>
                <w:color w:val="000000" w:themeColor="text1"/>
                <w:sz w:val="20"/>
                <w:szCs w:val="20"/>
              </w:rPr>
              <w:t>99.4</w:t>
            </w:r>
          </w:p>
        </w:tc>
      </w:tr>
      <w:tr w:rsidR="436E9498" w14:paraId="35B34D41" w14:textId="77777777" w:rsidTr="436E9498">
        <w:trPr>
          <w:trHeight w:val="180"/>
        </w:trPr>
        <w:tc>
          <w:tcPr>
            <w:tcW w:w="30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624C1E66" w14:textId="62866670" w:rsidR="436E9498" w:rsidRDefault="436E9498" w:rsidP="436E9498">
            <w:pPr>
              <w:rPr>
                <w:rFonts w:ascii="Calibri" w:eastAsia="Calibri" w:hAnsi="Calibri" w:cs="Calibri"/>
                <w:color w:val="000000" w:themeColor="text1"/>
                <w:sz w:val="20"/>
                <w:szCs w:val="20"/>
              </w:rPr>
            </w:pPr>
            <w:r w:rsidRPr="436E9498">
              <w:rPr>
                <w:rFonts w:ascii="Calibri" w:eastAsia="Calibri" w:hAnsi="Calibri" w:cs="Calibri"/>
                <w:color w:val="000000" w:themeColor="text1"/>
                <w:sz w:val="20"/>
                <w:szCs w:val="20"/>
              </w:rPr>
              <w:t>Trust 12 month rolling</w:t>
            </w:r>
          </w:p>
        </w:tc>
        <w:tc>
          <w:tcPr>
            <w:tcW w:w="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4B105F2F" w14:textId="3AB6B325" w:rsidR="436E9498" w:rsidRDefault="436E9498" w:rsidP="436E9498">
            <w:pPr>
              <w:rPr>
                <w:rFonts w:ascii="Calibri" w:eastAsia="Calibri" w:hAnsi="Calibri" w:cs="Calibri"/>
                <w:color w:val="000000" w:themeColor="text1"/>
                <w:sz w:val="20"/>
                <w:szCs w:val="20"/>
              </w:rPr>
            </w:pPr>
            <w:r w:rsidRPr="436E9498">
              <w:rPr>
                <w:rFonts w:ascii="Calibri" w:eastAsia="Calibri" w:hAnsi="Calibri" w:cs="Calibri"/>
                <w:color w:val="000000" w:themeColor="text1"/>
                <w:sz w:val="20"/>
                <w:szCs w:val="20"/>
              </w:rPr>
              <w:t>106.0</w:t>
            </w:r>
          </w:p>
        </w:tc>
        <w:tc>
          <w:tcPr>
            <w:tcW w:w="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6AB11F1B" w14:textId="7F3EA029" w:rsidR="436E9498" w:rsidRDefault="436E9498" w:rsidP="436E9498">
            <w:pPr>
              <w:rPr>
                <w:rFonts w:ascii="Calibri" w:eastAsia="Calibri" w:hAnsi="Calibri" w:cs="Calibri"/>
                <w:color w:val="000000" w:themeColor="text1"/>
                <w:sz w:val="20"/>
                <w:szCs w:val="20"/>
              </w:rPr>
            </w:pPr>
            <w:r w:rsidRPr="436E9498">
              <w:rPr>
                <w:rFonts w:ascii="Calibri" w:eastAsia="Calibri" w:hAnsi="Calibri" w:cs="Calibri"/>
                <w:color w:val="000000" w:themeColor="text1"/>
                <w:sz w:val="20"/>
                <w:szCs w:val="20"/>
              </w:rPr>
              <w:t>105.4</w:t>
            </w:r>
          </w:p>
        </w:tc>
        <w:tc>
          <w:tcPr>
            <w:tcW w:w="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4D86E7EA" w14:textId="0A5934A4" w:rsidR="436E9498" w:rsidRDefault="436E9498" w:rsidP="436E9498">
            <w:pPr>
              <w:rPr>
                <w:rFonts w:ascii="Calibri" w:eastAsia="Calibri" w:hAnsi="Calibri" w:cs="Calibri"/>
                <w:color w:val="000000" w:themeColor="text1"/>
                <w:sz w:val="20"/>
                <w:szCs w:val="20"/>
              </w:rPr>
            </w:pPr>
            <w:r w:rsidRPr="436E9498">
              <w:rPr>
                <w:rFonts w:ascii="Calibri" w:eastAsia="Calibri" w:hAnsi="Calibri" w:cs="Calibri"/>
                <w:color w:val="000000" w:themeColor="text1"/>
                <w:sz w:val="20"/>
                <w:szCs w:val="20"/>
              </w:rPr>
              <w:t>105.2</w:t>
            </w:r>
          </w:p>
        </w:tc>
        <w:tc>
          <w:tcPr>
            <w:tcW w:w="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3F2E4436" w14:textId="05838314" w:rsidR="436E9498" w:rsidRDefault="436E9498" w:rsidP="436E9498">
            <w:pPr>
              <w:rPr>
                <w:rFonts w:ascii="Calibri" w:eastAsia="Calibri" w:hAnsi="Calibri" w:cs="Calibri"/>
                <w:color w:val="000000" w:themeColor="text1"/>
                <w:sz w:val="20"/>
                <w:szCs w:val="20"/>
              </w:rPr>
            </w:pPr>
            <w:r w:rsidRPr="436E9498">
              <w:rPr>
                <w:rFonts w:ascii="Calibri" w:eastAsia="Calibri" w:hAnsi="Calibri" w:cs="Calibri"/>
                <w:color w:val="000000" w:themeColor="text1"/>
                <w:sz w:val="20"/>
                <w:szCs w:val="20"/>
              </w:rPr>
              <w:t>107.5</w:t>
            </w:r>
          </w:p>
        </w:tc>
        <w:tc>
          <w:tcPr>
            <w:tcW w:w="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66E82FE3" w14:textId="30BA921D" w:rsidR="436E9498" w:rsidRDefault="436E9498" w:rsidP="436E9498">
            <w:pPr>
              <w:rPr>
                <w:rFonts w:ascii="Calibri" w:eastAsia="Calibri" w:hAnsi="Calibri" w:cs="Calibri"/>
                <w:color w:val="000000" w:themeColor="text1"/>
                <w:sz w:val="20"/>
                <w:szCs w:val="20"/>
              </w:rPr>
            </w:pPr>
            <w:r w:rsidRPr="436E9498">
              <w:rPr>
                <w:rFonts w:ascii="Calibri" w:eastAsia="Calibri" w:hAnsi="Calibri" w:cs="Calibri"/>
                <w:color w:val="000000" w:themeColor="text1"/>
                <w:sz w:val="20"/>
                <w:szCs w:val="20"/>
              </w:rPr>
              <w:t>109.6</w:t>
            </w:r>
          </w:p>
        </w:tc>
        <w:tc>
          <w:tcPr>
            <w:tcW w:w="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6F664032" w14:textId="098F9672" w:rsidR="436E9498" w:rsidRDefault="436E9498" w:rsidP="436E9498">
            <w:pPr>
              <w:rPr>
                <w:rFonts w:ascii="Calibri" w:eastAsia="Calibri" w:hAnsi="Calibri" w:cs="Calibri"/>
                <w:color w:val="000000" w:themeColor="text1"/>
                <w:sz w:val="20"/>
                <w:szCs w:val="20"/>
              </w:rPr>
            </w:pPr>
            <w:r w:rsidRPr="436E9498">
              <w:rPr>
                <w:rFonts w:ascii="Calibri" w:eastAsia="Calibri" w:hAnsi="Calibri" w:cs="Calibri"/>
                <w:color w:val="000000" w:themeColor="text1"/>
                <w:sz w:val="20"/>
                <w:szCs w:val="20"/>
              </w:rPr>
              <w:t>109.3</w:t>
            </w:r>
          </w:p>
        </w:tc>
        <w:tc>
          <w:tcPr>
            <w:tcW w:w="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7CEE315E" w14:textId="0E2D5FA9" w:rsidR="436E9498" w:rsidRDefault="436E9498" w:rsidP="436E9498">
            <w:pPr>
              <w:rPr>
                <w:rFonts w:ascii="Calibri" w:eastAsia="Calibri" w:hAnsi="Calibri" w:cs="Calibri"/>
                <w:color w:val="000000" w:themeColor="text1"/>
                <w:sz w:val="20"/>
                <w:szCs w:val="20"/>
              </w:rPr>
            </w:pPr>
            <w:r w:rsidRPr="436E9498">
              <w:rPr>
                <w:rFonts w:ascii="Calibri" w:eastAsia="Calibri" w:hAnsi="Calibri" w:cs="Calibri"/>
                <w:color w:val="000000" w:themeColor="text1"/>
                <w:sz w:val="20"/>
                <w:szCs w:val="20"/>
              </w:rPr>
              <w:t>110.5</w:t>
            </w:r>
          </w:p>
        </w:tc>
        <w:tc>
          <w:tcPr>
            <w:tcW w:w="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3ABA2111" w14:textId="19B5972F" w:rsidR="436E9498" w:rsidRDefault="436E9498" w:rsidP="436E9498">
            <w:pPr>
              <w:rPr>
                <w:rFonts w:ascii="Calibri" w:eastAsia="Calibri" w:hAnsi="Calibri" w:cs="Calibri"/>
                <w:color w:val="000000" w:themeColor="text1"/>
                <w:sz w:val="20"/>
                <w:szCs w:val="20"/>
              </w:rPr>
            </w:pPr>
            <w:r w:rsidRPr="436E9498">
              <w:rPr>
                <w:rFonts w:ascii="Calibri" w:eastAsia="Calibri" w:hAnsi="Calibri" w:cs="Calibri"/>
                <w:color w:val="000000" w:themeColor="text1"/>
                <w:sz w:val="20"/>
                <w:szCs w:val="20"/>
              </w:rPr>
              <w:t>108.5</w:t>
            </w:r>
          </w:p>
        </w:tc>
        <w:tc>
          <w:tcPr>
            <w:tcW w:w="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08019811" w14:textId="30DC5E98" w:rsidR="436E9498" w:rsidRDefault="436E9498" w:rsidP="436E9498">
            <w:pPr>
              <w:rPr>
                <w:rFonts w:ascii="Calibri" w:eastAsia="Calibri" w:hAnsi="Calibri" w:cs="Calibri"/>
                <w:color w:val="000000" w:themeColor="text1"/>
                <w:sz w:val="20"/>
                <w:szCs w:val="20"/>
              </w:rPr>
            </w:pPr>
            <w:r w:rsidRPr="436E9498">
              <w:rPr>
                <w:rFonts w:ascii="Calibri" w:eastAsia="Calibri" w:hAnsi="Calibri" w:cs="Calibri"/>
                <w:color w:val="000000" w:themeColor="text1"/>
                <w:sz w:val="20"/>
                <w:szCs w:val="20"/>
              </w:rPr>
              <w:t>107.5</w:t>
            </w:r>
          </w:p>
        </w:tc>
        <w:tc>
          <w:tcPr>
            <w:tcW w:w="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00754790" w14:textId="5AED5045" w:rsidR="436E9498" w:rsidRDefault="436E9498" w:rsidP="436E9498">
            <w:pPr>
              <w:rPr>
                <w:rFonts w:ascii="Calibri" w:eastAsia="Calibri" w:hAnsi="Calibri" w:cs="Calibri"/>
                <w:color w:val="000000" w:themeColor="text1"/>
                <w:sz w:val="20"/>
                <w:szCs w:val="20"/>
              </w:rPr>
            </w:pPr>
            <w:r w:rsidRPr="436E9498">
              <w:rPr>
                <w:rFonts w:ascii="Calibri" w:eastAsia="Calibri" w:hAnsi="Calibri" w:cs="Calibri"/>
                <w:color w:val="000000" w:themeColor="text1"/>
                <w:sz w:val="20"/>
                <w:szCs w:val="20"/>
              </w:rPr>
              <w:t>106.2</w:t>
            </w:r>
          </w:p>
        </w:tc>
        <w:tc>
          <w:tcPr>
            <w:tcW w:w="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48C3B3EB" w14:textId="456490E2" w:rsidR="436E9498" w:rsidRDefault="436E9498" w:rsidP="436E9498">
            <w:pPr>
              <w:rPr>
                <w:rFonts w:ascii="Calibri" w:eastAsia="Calibri" w:hAnsi="Calibri" w:cs="Calibri"/>
                <w:color w:val="000000" w:themeColor="text1"/>
                <w:sz w:val="20"/>
                <w:szCs w:val="20"/>
              </w:rPr>
            </w:pPr>
            <w:r w:rsidRPr="436E9498">
              <w:rPr>
                <w:rFonts w:ascii="Calibri" w:eastAsia="Calibri" w:hAnsi="Calibri" w:cs="Calibri"/>
                <w:color w:val="000000" w:themeColor="text1"/>
                <w:sz w:val="20"/>
                <w:szCs w:val="20"/>
              </w:rPr>
              <w:t>103.8</w:t>
            </w:r>
          </w:p>
        </w:tc>
        <w:tc>
          <w:tcPr>
            <w:tcW w:w="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2D7DAB68" w14:textId="0EB1A13F" w:rsidR="436E9498" w:rsidRDefault="436E9498" w:rsidP="436E9498">
            <w:pPr>
              <w:rPr>
                <w:rFonts w:ascii="Calibri" w:eastAsia="Calibri" w:hAnsi="Calibri" w:cs="Calibri"/>
                <w:color w:val="000000" w:themeColor="text1"/>
                <w:sz w:val="20"/>
                <w:szCs w:val="20"/>
              </w:rPr>
            </w:pPr>
            <w:r w:rsidRPr="436E9498">
              <w:rPr>
                <w:rFonts w:ascii="Calibri" w:eastAsia="Calibri" w:hAnsi="Calibri" w:cs="Calibri"/>
                <w:color w:val="000000" w:themeColor="text1"/>
                <w:sz w:val="20"/>
                <w:szCs w:val="20"/>
              </w:rPr>
              <w:t>103.5</w:t>
            </w:r>
          </w:p>
        </w:tc>
      </w:tr>
      <w:tr w:rsidR="436E9498" w14:paraId="52E667A3" w14:textId="77777777" w:rsidTr="436E9498">
        <w:trPr>
          <w:trHeight w:val="165"/>
        </w:trPr>
        <w:tc>
          <w:tcPr>
            <w:tcW w:w="30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40912A53" w14:textId="2DB48F74" w:rsidR="436E9498" w:rsidRDefault="436E9498" w:rsidP="436E9498">
            <w:pPr>
              <w:rPr>
                <w:rFonts w:ascii="Calibri" w:eastAsia="Calibri" w:hAnsi="Calibri" w:cs="Calibri"/>
                <w:color w:val="000000" w:themeColor="text1"/>
                <w:sz w:val="20"/>
                <w:szCs w:val="20"/>
              </w:rPr>
            </w:pPr>
            <w:r w:rsidRPr="436E9498">
              <w:rPr>
                <w:rFonts w:ascii="Calibri" w:eastAsia="Calibri" w:hAnsi="Calibri" w:cs="Calibri"/>
                <w:color w:val="000000" w:themeColor="text1"/>
                <w:sz w:val="20"/>
                <w:szCs w:val="20"/>
              </w:rPr>
              <w:t>National Peer 12 month rolling</w:t>
            </w:r>
          </w:p>
        </w:tc>
        <w:tc>
          <w:tcPr>
            <w:tcW w:w="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6C3DE9BB" w14:textId="1A348EE8" w:rsidR="436E9498" w:rsidRDefault="436E9498" w:rsidP="436E9498">
            <w:pPr>
              <w:rPr>
                <w:rFonts w:ascii="Calibri" w:eastAsia="Calibri" w:hAnsi="Calibri" w:cs="Calibri"/>
                <w:color w:val="000000" w:themeColor="text1"/>
                <w:sz w:val="20"/>
                <w:szCs w:val="20"/>
              </w:rPr>
            </w:pPr>
            <w:r w:rsidRPr="436E9498">
              <w:rPr>
                <w:rFonts w:ascii="Calibri" w:eastAsia="Calibri" w:hAnsi="Calibri" w:cs="Calibri"/>
                <w:color w:val="000000" w:themeColor="text1"/>
                <w:sz w:val="20"/>
                <w:szCs w:val="20"/>
              </w:rPr>
              <w:t>100.4</w:t>
            </w:r>
          </w:p>
        </w:tc>
        <w:tc>
          <w:tcPr>
            <w:tcW w:w="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3FF9BBD8" w14:textId="5307895B" w:rsidR="436E9498" w:rsidRDefault="436E9498" w:rsidP="436E9498">
            <w:pPr>
              <w:rPr>
                <w:rFonts w:ascii="Calibri" w:eastAsia="Calibri" w:hAnsi="Calibri" w:cs="Calibri"/>
                <w:color w:val="000000" w:themeColor="text1"/>
                <w:sz w:val="20"/>
                <w:szCs w:val="20"/>
              </w:rPr>
            </w:pPr>
            <w:r w:rsidRPr="436E9498">
              <w:rPr>
                <w:rFonts w:ascii="Calibri" w:eastAsia="Calibri" w:hAnsi="Calibri" w:cs="Calibri"/>
                <w:color w:val="000000" w:themeColor="text1"/>
                <w:sz w:val="20"/>
                <w:szCs w:val="20"/>
              </w:rPr>
              <w:t>100.7</w:t>
            </w:r>
          </w:p>
        </w:tc>
        <w:tc>
          <w:tcPr>
            <w:tcW w:w="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1D4CB54B" w14:textId="5B2E507F" w:rsidR="436E9498" w:rsidRDefault="436E9498" w:rsidP="436E9498">
            <w:pPr>
              <w:rPr>
                <w:rFonts w:ascii="Calibri" w:eastAsia="Calibri" w:hAnsi="Calibri" w:cs="Calibri"/>
                <w:color w:val="000000" w:themeColor="text1"/>
                <w:sz w:val="20"/>
                <w:szCs w:val="20"/>
              </w:rPr>
            </w:pPr>
            <w:r w:rsidRPr="436E9498">
              <w:rPr>
                <w:rFonts w:ascii="Calibri" w:eastAsia="Calibri" w:hAnsi="Calibri" w:cs="Calibri"/>
                <w:color w:val="000000" w:themeColor="text1"/>
                <w:sz w:val="20"/>
                <w:szCs w:val="20"/>
              </w:rPr>
              <w:t>100.6</w:t>
            </w:r>
          </w:p>
        </w:tc>
        <w:tc>
          <w:tcPr>
            <w:tcW w:w="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5E0F2E81" w14:textId="4C314A33" w:rsidR="436E9498" w:rsidRDefault="436E9498" w:rsidP="436E9498">
            <w:pPr>
              <w:rPr>
                <w:rFonts w:ascii="Calibri" w:eastAsia="Calibri" w:hAnsi="Calibri" w:cs="Calibri"/>
                <w:color w:val="000000" w:themeColor="text1"/>
                <w:sz w:val="20"/>
                <w:szCs w:val="20"/>
              </w:rPr>
            </w:pPr>
            <w:r w:rsidRPr="436E9498">
              <w:rPr>
                <w:rFonts w:ascii="Calibri" w:eastAsia="Calibri" w:hAnsi="Calibri" w:cs="Calibri"/>
                <w:color w:val="000000" w:themeColor="text1"/>
                <w:sz w:val="20"/>
                <w:szCs w:val="20"/>
              </w:rPr>
              <w:t>100.5</w:t>
            </w:r>
          </w:p>
        </w:tc>
        <w:tc>
          <w:tcPr>
            <w:tcW w:w="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2FD17448" w14:textId="144C24DF" w:rsidR="436E9498" w:rsidRDefault="436E9498" w:rsidP="436E9498">
            <w:pPr>
              <w:rPr>
                <w:rFonts w:ascii="Calibri" w:eastAsia="Calibri" w:hAnsi="Calibri" w:cs="Calibri"/>
                <w:color w:val="000000" w:themeColor="text1"/>
                <w:sz w:val="20"/>
                <w:szCs w:val="20"/>
              </w:rPr>
            </w:pPr>
            <w:r w:rsidRPr="436E9498">
              <w:rPr>
                <w:rFonts w:ascii="Calibri" w:eastAsia="Calibri" w:hAnsi="Calibri" w:cs="Calibri"/>
                <w:color w:val="000000" w:themeColor="text1"/>
                <w:sz w:val="20"/>
                <w:szCs w:val="20"/>
              </w:rPr>
              <w:t>100.4</w:t>
            </w:r>
          </w:p>
        </w:tc>
        <w:tc>
          <w:tcPr>
            <w:tcW w:w="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7A08B633" w14:textId="61DB6007" w:rsidR="436E9498" w:rsidRDefault="436E9498" w:rsidP="436E9498">
            <w:pPr>
              <w:rPr>
                <w:rFonts w:ascii="Calibri" w:eastAsia="Calibri" w:hAnsi="Calibri" w:cs="Calibri"/>
                <w:color w:val="000000" w:themeColor="text1"/>
                <w:sz w:val="20"/>
                <w:szCs w:val="20"/>
              </w:rPr>
            </w:pPr>
            <w:r w:rsidRPr="436E9498">
              <w:rPr>
                <w:rFonts w:ascii="Calibri" w:eastAsia="Calibri" w:hAnsi="Calibri" w:cs="Calibri"/>
                <w:color w:val="000000" w:themeColor="text1"/>
                <w:sz w:val="20"/>
                <w:szCs w:val="20"/>
              </w:rPr>
              <w:t>100.1</w:t>
            </w:r>
          </w:p>
        </w:tc>
        <w:tc>
          <w:tcPr>
            <w:tcW w:w="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7C2F5C8F" w14:textId="66AA2F0D" w:rsidR="436E9498" w:rsidRDefault="436E9498" w:rsidP="436E9498">
            <w:pPr>
              <w:rPr>
                <w:rFonts w:ascii="Calibri" w:eastAsia="Calibri" w:hAnsi="Calibri" w:cs="Calibri"/>
                <w:color w:val="000000" w:themeColor="text1"/>
                <w:sz w:val="20"/>
                <w:szCs w:val="20"/>
              </w:rPr>
            </w:pPr>
            <w:r w:rsidRPr="436E9498">
              <w:rPr>
                <w:rFonts w:ascii="Calibri" w:eastAsia="Calibri" w:hAnsi="Calibri" w:cs="Calibri"/>
                <w:color w:val="000000" w:themeColor="text1"/>
                <w:sz w:val="20"/>
                <w:szCs w:val="20"/>
              </w:rPr>
              <w:t>101.1</w:t>
            </w:r>
          </w:p>
        </w:tc>
        <w:tc>
          <w:tcPr>
            <w:tcW w:w="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5C47EC48" w14:textId="15F4DF0B" w:rsidR="436E9498" w:rsidRDefault="436E9498" w:rsidP="436E9498">
            <w:pPr>
              <w:rPr>
                <w:rFonts w:ascii="Calibri" w:eastAsia="Calibri" w:hAnsi="Calibri" w:cs="Calibri"/>
                <w:color w:val="000000" w:themeColor="text1"/>
                <w:sz w:val="20"/>
                <w:szCs w:val="20"/>
              </w:rPr>
            </w:pPr>
            <w:r w:rsidRPr="436E9498">
              <w:rPr>
                <w:rFonts w:ascii="Calibri" w:eastAsia="Calibri" w:hAnsi="Calibri" w:cs="Calibri"/>
                <w:color w:val="000000" w:themeColor="text1"/>
                <w:sz w:val="20"/>
                <w:szCs w:val="20"/>
              </w:rPr>
              <w:t>101.1</w:t>
            </w:r>
          </w:p>
        </w:tc>
        <w:tc>
          <w:tcPr>
            <w:tcW w:w="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24424285" w14:textId="672097DC" w:rsidR="436E9498" w:rsidRDefault="436E9498" w:rsidP="436E9498">
            <w:pPr>
              <w:rPr>
                <w:rFonts w:ascii="Calibri" w:eastAsia="Calibri" w:hAnsi="Calibri" w:cs="Calibri"/>
                <w:color w:val="000000" w:themeColor="text1"/>
                <w:sz w:val="20"/>
                <w:szCs w:val="20"/>
              </w:rPr>
            </w:pPr>
            <w:r w:rsidRPr="436E9498">
              <w:rPr>
                <w:rFonts w:ascii="Calibri" w:eastAsia="Calibri" w:hAnsi="Calibri" w:cs="Calibri"/>
                <w:color w:val="000000" w:themeColor="text1"/>
                <w:sz w:val="20"/>
                <w:szCs w:val="20"/>
              </w:rPr>
              <w:t>101.0</w:t>
            </w:r>
          </w:p>
        </w:tc>
        <w:tc>
          <w:tcPr>
            <w:tcW w:w="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1108C9CD" w14:textId="119A5841" w:rsidR="436E9498" w:rsidRDefault="436E9498" w:rsidP="436E9498">
            <w:pPr>
              <w:rPr>
                <w:rFonts w:ascii="Calibri" w:eastAsia="Calibri" w:hAnsi="Calibri" w:cs="Calibri"/>
                <w:color w:val="000000" w:themeColor="text1"/>
                <w:sz w:val="20"/>
                <w:szCs w:val="20"/>
              </w:rPr>
            </w:pPr>
            <w:r w:rsidRPr="436E9498">
              <w:rPr>
                <w:rFonts w:ascii="Calibri" w:eastAsia="Calibri" w:hAnsi="Calibri" w:cs="Calibri"/>
                <w:color w:val="000000" w:themeColor="text1"/>
                <w:sz w:val="20"/>
                <w:szCs w:val="20"/>
              </w:rPr>
              <w:t>100.6</w:t>
            </w:r>
          </w:p>
        </w:tc>
        <w:tc>
          <w:tcPr>
            <w:tcW w:w="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495A44D0" w14:textId="46EC6BA1" w:rsidR="436E9498" w:rsidRDefault="436E9498" w:rsidP="436E9498">
            <w:pPr>
              <w:rPr>
                <w:rFonts w:ascii="Calibri" w:eastAsia="Calibri" w:hAnsi="Calibri" w:cs="Calibri"/>
                <w:color w:val="000000" w:themeColor="text1"/>
                <w:sz w:val="20"/>
                <w:szCs w:val="20"/>
              </w:rPr>
            </w:pPr>
            <w:r w:rsidRPr="436E9498">
              <w:rPr>
                <w:rFonts w:ascii="Calibri" w:eastAsia="Calibri" w:hAnsi="Calibri" w:cs="Calibri"/>
                <w:color w:val="000000" w:themeColor="text1"/>
                <w:sz w:val="20"/>
                <w:szCs w:val="20"/>
              </w:rPr>
              <w:t>100.3</w:t>
            </w:r>
          </w:p>
        </w:tc>
        <w:tc>
          <w:tcPr>
            <w:tcW w:w="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12DB9418" w14:textId="78EF4626" w:rsidR="436E9498" w:rsidRDefault="436E9498" w:rsidP="436E9498">
            <w:pPr>
              <w:rPr>
                <w:rFonts w:ascii="Calibri" w:eastAsia="Calibri" w:hAnsi="Calibri" w:cs="Calibri"/>
                <w:color w:val="000000" w:themeColor="text1"/>
                <w:sz w:val="20"/>
                <w:szCs w:val="20"/>
              </w:rPr>
            </w:pPr>
            <w:r w:rsidRPr="436E9498">
              <w:rPr>
                <w:rFonts w:ascii="Calibri" w:eastAsia="Calibri" w:hAnsi="Calibri" w:cs="Calibri"/>
                <w:color w:val="000000" w:themeColor="text1"/>
                <w:sz w:val="20"/>
                <w:szCs w:val="20"/>
              </w:rPr>
              <w:t>100.0</w:t>
            </w:r>
          </w:p>
        </w:tc>
      </w:tr>
      <w:tr w:rsidR="436E9498" w14:paraId="3E6FA5B6" w14:textId="77777777" w:rsidTr="436E9498">
        <w:trPr>
          <w:trHeight w:val="150"/>
        </w:trPr>
        <w:tc>
          <w:tcPr>
            <w:tcW w:w="30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48B253FF" w14:textId="4CC9CEE7" w:rsidR="436E9498" w:rsidRDefault="436E9498" w:rsidP="436E9498">
            <w:pPr>
              <w:rPr>
                <w:rFonts w:ascii="Calibri" w:eastAsia="Calibri" w:hAnsi="Calibri" w:cs="Calibri"/>
                <w:color w:val="000000" w:themeColor="text1"/>
                <w:sz w:val="20"/>
                <w:szCs w:val="20"/>
              </w:rPr>
            </w:pPr>
            <w:r w:rsidRPr="436E9498">
              <w:rPr>
                <w:rFonts w:ascii="Calibri" w:eastAsia="Calibri" w:hAnsi="Calibri" w:cs="Calibri"/>
                <w:color w:val="000000" w:themeColor="text1"/>
                <w:sz w:val="20"/>
                <w:szCs w:val="20"/>
              </w:rPr>
              <w:t>Variance from the national peer</w:t>
            </w:r>
          </w:p>
        </w:tc>
        <w:tc>
          <w:tcPr>
            <w:tcW w:w="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5145B990" w14:textId="6492AA75" w:rsidR="436E9498" w:rsidRDefault="436E9498" w:rsidP="436E9498">
            <w:pPr>
              <w:rPr>
                <w:rFonts w:ascii="Calibri" w:eastAsia="Calibri" w:hAnsi="Calibri" w:cs="Calibri"/>
                <w:color w:val="000000" w:themeColor="text1"/>
                <w:sz w:val="20"/>
                <w:szCs w:val="20"/>
              </w:rPr>
            </w:pPr>
            <w:r w:rsidRPr="436E9498">
              <w:rPr>
                <w:rFonts w:ascii="Calibri" w:eastAsia="Calibri" w:hAnsi="Calibri" w:cs="Calibri"/>
                <w:color w:val="000000" w:themeColor="text1"/>
                <w:sz w:val="20"/>
                <w:szCs w:val="20"/>
              </w:rPr>
              <w:t>5.6</w:t>
            </w:r>
          </w:p>
        </w:tc>
        <w:tc>
          <w:tcPr>
            <w:tcW w:w="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27FB5677" w14:textId="22A8297E" w:rsidR="436E9498" w:rsidRDefault="436E9498" w:rsidP="436E9498">
            <w:pPr>
              <w:rPr>
                <w:rFonts w:ascii="Calibri" w:eastAsia="Calibri" w:hAnsi="Calibri" w:cs="Calibri"/>
                <w:color w:val="000000" w:themeColor="text1"/>
                <w:sz w:val="20"/>
                <w:szCs w:val="20"/>
              </w:rPr>
            </w:pPr>
            <w:r w:rsidRPr="436E9498">
              <w:rPr>
                <w:rFonts w:ascii="Calibri" w:eastAsia="Calibri" w:hAnsi="Calibri" w:cs="Calibri"/>
                <w:color w:val="000000" w:themeColor="text1"/>
                <w:sz w:val="20"/>
                <w:szCs w:val="20"/>
              </w:rPr>
              <w:t>4.6</w:t>
            </w:r>
          </w:p>
        </w:tc>
        <w:tc>
          <w:tcPr>
            <w:tcW w:w="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3E403EFF" w14:textId="377B953C" w:rsidR="436E9498" w:rsidRDefault="436E9498" w:rsidP="436E9498">
            <w:pPr>
              <w:rPr>
                <w:rFonts w:ascii="Calibri" w:eastAsia="Calibri" w:hAnsi="Calibri" w:cs="Calibri"/>
                <w:color w:val="000000" w:themeColor="text1"/>
                <w:sz w:val="20"/>
                <w:szCs w:val="20"/>
              </w:rPr>
            </w:pPr>
            <w:r w:rsidRPr="436E9498">
              <w:rPr>
                <w:rFonts w:ascii="Calibri" w:eastAsia="Calibri" w:hAnsi="Calibri" w:cs="Calibri"/>
                <w:color w:val="000000" w:themeColor="text1"/>
                <w:sz w:val="20"/>
                <w:szCs w:val="20"/>
              </w:rPr>
              <w:t>4.6</w:t>
            </w:r>
          </w:p>
        </w:tc>
        <w:tc>
          <w:tcPr>
            <w:tcW w:w="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6BC0568B" w14:textId="6594D126" w:rsidR="436E9498" w:rsidRDefault="436E9498" w:rsidP="436E9498">
            <w:pPr>
              <w:rPr>
                <w:rFonts w:ascii="Calibri" w:eastAsia="Calibri" w:hAnsi="Calibri" w:cs="Calibri"/>
                <w:color w:val="000000" w:themeColor="text1"/>
                <w:sz w:val="20"/>
                <w:szCs w:val="20"/>
              </w:rPr>
            </w:pPr>
            <w:r w:rsidRPr="436E9498">
              <w:rPr>
                <w:rFonts w:ascii="Calibri" w:eastAsia="Calibri" w:hAnsi="Calibri" w:cs="Calibri"/>
                <w:color w:val="000000" w:themeColor="text1"/>
                <w:sz w:val="20"/>
                <w:szCs w:val="20"/>
              </w:rPr>
              <w:t>6.9</w:t>
            </w:r>
          </w:p>
        </w:tc>
        <w:tc>
          <w:tcPr>
            <w:tcW w:w="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0847C739" w14:textId="043D881F" w:rsidR="436E9498" w:rsidRDefault="436E9498" w:rsidP="436E9498">
            <w:pPr>
              <w:rPr>
                <w:rFonts w:ascii="Calibri" w:eastAsia="Calibri" w:hAnsi="Calibri" w:cs="Calibri"/>
                <w:color w:val="000000" w:themeColor="text1"/>
                <w:sz w:val="20"/>
                <w:szCs w:val="20"/>
              </w:rPr>
            </w:pPr>
            <w:r w:rsidRPr="436E9498">
              <w:rPr>
                <w:rFonts w:ascii="Calibri" w:eastAsia="Calibri" w:hAnsi="Calibri" w:cs="Calibri"/>
                <w:color w:val="000000" w:themeColor="text1"/>
                <w:sz w:val="20"/>
                <w:szCs w:val="20"/>
              </w:rPr>
              <w:t>9.2</w:t>
            </w:r>
          </w:p>
        </w:tc>
        <w:tc>
          <w:tcPr>
            <w:tcW w:w="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48932ECD" w14:textId="224051AD" w:rsidR="436E9498" w:rsidRDefault="436E9498" w:rsidP="436E9498">
            <w:pPr>
              <w:rPr>
                <w:rFonts w:ascii="Calibri" w:eastAsia="Calibri" w:hAnsi="Calibri" w:cs="Calibri"/>
                <w:color w:val="000000" w:themeColor="text1"/>
                <w:sz w:val="20"/>
                <w:szCs w:val="20"/>
              </w:rPr>
            </w:pPr>
            <w:r w:rsidRPr="436E9498">
              <w:rPr>
                <w:rFonts w:ascii="Calibri" w:eastAsia="Calibri" w:hAnsi="Calibri" w:cs="Calibri"/>
                <w:color w:val="000000" w:themeColor="text1"/>
                <w:sz w:val="20"/>
                <w:szCs w:val="20"/>
              </w:rPr>
              <w:t>9.1</w:t>
            </w:r>
          </w:p>
        </w:tc>
        <w:tc>
          <w:tcPr>
            <w:tcW w:w="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48CB3008" w14:textId="3B4E111A" w:rsidR="436E9498" w:rsidRDefault="436E9498" w:rsidP="436E9498">
            <w:pPr>
              <w:rPr>
                <w:rFonts w:ascii="Calibri" w:eastAsia="Calibri" w:hAnsi="Calibri" w:cs="Calibri"/>
                <w:color w:val="000000" w:themeColor="text1"/>
                <w:sz w:val="20"/>
                <w:szCs w:val="20"/>
              </w:rPr>
            </w:pPr>
            <w:r w:rsidRPr="436E9498">
              <w:rPr>
                <w:rFonts w:ascii="Calibri" w:eastAsia="Calibri" w:hAnsi="Calibri" w:cs="Calibri"/>
                <w:color w:val="000000" w:themeColor="text1"/>
                <w:sz w:val="20"/>
                <w:szCs w:val="20"/>
              </w:rPr>
              <w:t>9.5</w:t>
            </w:r>
          </w:p>
        </w:tc>
        <w:tc>
          <w:tcPr>
            <w:tcW w:w="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5089A31A" w14:textId="4EA14CCA" w:rsidR="436E9498" w:rsidRDefault="436E9498" w:rsidP="436E9498">
            <w:pPr>
              <w:rPr>
                <w:rFonts w:ascii="Calibri" w:eastAsia="Calibri" w:hAnsi="Calibri" w:cs="Calibri"/>
                <w:color w:val="000000" w:themeColor="text1"/>
                <w:sz w:val="20"/>
                <w:szCs w:val="20"/>
              </w:rPr>
            </w:pPr>
            <w:r w:rsidRPr="436E9498">
              <w:rPr>
                <w:rFonts w:ascii="Calibri" w:eastAsia="Calibri" w:hAnsi="Calibri" w:cs="Calibri"/>
                <w:color w:val="000000" w:themeColor="text1"/>
                <w:sz w:val="20"/>
                <w:szCs w:val="20"/>
              </w:rPr>
              <w:t>7.5</w:t>
            </w:r>
          </w:p>
        </w:tc>
        <w:tc>
          <w:tcPr>
            <w:tcW w:w="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13243E7D" w14:textId="1902C56C" w:rsidR="436E9498" w:rsidRDefault="436E9498" w:rsidP="436E9498">
            <w:pPr>
              <w:rPr>
                <w:rFonts w:ascii="Calibri" w:eastAsia="Calibri" w:hAnsi="Calibri" w:cs="Calibri"/>
                <w:color w:val="000000" w:themeColor="text1"/>
                <w:sz w:val="20"/>
                <w:szCs w:val="20"/>
              </w:rPr>
            </w:pPr>
            <w:r w:rsidRPr="436E9498">
              <w:rPr>
                <w:rFonts w:ascii="Calibri" w:eastAsia="Calibri" w:hAnsi="Calibri" w:cs="Calibri"/>
                <w:color w:val="000000" w:themeColor="text1"/>
                <w:sz w:val="20"/>
                <w:szCs w:val="20"/>
              </w:rPr>
              <w:t>6.5</w:t>
            </w:r>
          </w:p>
        </w:tc>
        <w:tc>
          <w:tcPr>
            <w:tcW w:w="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75CD8DB7" w14:textId="1A5101AC" w:rsidR="436E9498" w:rsidRDefault="436E9498" w:rsidP="436E9498">
            <w:pPr>
              <w:rPr>
                <w:rFonts w:ascii="Calibri" w:eastAsia="Calibri" w:hAnsi="Calibri" w:cs="Calibri"/>
                <w:color w:val="000000" w:themeColor="text1"/>
                <w:sz w:val="20"/>
                <w:szCs w:val="20"/>
              </w:rPr>
            </w:pPr>
            <w:r w:rsidRPr="436E9498">
              <w:rPr>
                <w:rFonts w:ascii="Calibri" w:eastAsia="Calibri" w:hAnsi="Calibri" w:cs="Calibri"/>
                <w:color w:val="000000" w:themeColor="text1"/>
                <w:sz w:val="20"/>
                <w:szCs w:val="20"/>
              </w:rPr>
              <w:t>5.6</w:t>
            </w:r>
          </w:p>
        </w:tc>
        <w:tc>
          <w:tcPr>
            <w:tcW w:w="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4847F0D9" w14:textId="2CA714C7" w:rsidR="436E9498" w:rsidRDefault="436E9498" w:rsidP="436E9498">
            <w:pPr>
              <w:rPr>
                <w:rFonts w:ascii="Calibri" w:eastAsia="Calibri" w:hAnsi="Calibri" w:cs="Calibri"/>
                <w:color w:val="000000" w:themeColor="text1"/>
                <w:sz w:val="20"/>
                <w:szCs w:val="20"/>
              </w:rPr>
            </w:pPr>
            <w:r w:rsidRPr="436E9498">
              <w:rPr>
                <w:rFonts w:ascii="Calibri" w:eastAsia="Calibri" w:hAnsi="Calibri" w:cs="Calibri"/>
                <w:color w:val="000000" w:themeColor="text1"/>
                <w:sz w:val="20"/>
                <w:szCs w:val="20"/>
              </w:rPr>
              <w:t>3.5</w:t>
            </w:r>
          </w:p>
        </w:tc>
        <w:tc>
          <w:tcPr>
            <w:tcW w:w="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30" w:type="dxa"/>
              <w:bottom w:w="30" w:type="dxa"/>
              <w:right w:w="30" w:type="dxa"/>
            </w:tcMar>
            <w:vAlign w:val="bottom"/>
          </w:tcPr>
          <w:p w14:paraId="4BEEE904" w14:textId="33A0369A" w:rsidR="436E9498" w:rsidRDefault="436E9498" w:rsidP="436E9498">
            <w:pPr>
              <w:rPr>
                <w:rFonts w:ascii="Calibri" w:eastAsia="Calibri" w:hAnsi="Calibri" w:cs="Calibri"/>
                <w:color w:val="000000" w:themeColor="text1"/>
                <w:sz w:val="20"/>
                <w:szCs w:val="20"/>
              </w:rPr>
            </w:pPr>
            <w:r w:rsidRPr="436E9498">
              <w:rPr>
                <w:rFonts w:ascii="Calibri" w:eastAsia="Calibri" w:hAnsi="Calibri" w:cs="Calibri"/>
                <w:color w:val="000000" w:themeColor="text1"/>
                <w:sz w:val="20"/>
                <w:szCs w:val="20"/>
              </w:rPr>
              <w:t>3.6</w:t>
            </w:r>
          </w:p>
        </w:tc>
      </w:tr>
    </w:tbl>
    <w:p w14:paraId="03EFCA41" w14:textId="6DAC0735" w:rsidR="00E7079D" w:rsidRDefault="00E7079D" w:rsidP="436E9498">
      <w:pPr>
        <w:pStyle w:val="BodyA"/>
        <w:widowControl w:val="0"/>
      </w:pPr>
    </w:p>
    <w:p w14:paraId="5F96A722" w14:textId="77777777" w:rsidR="00E7079D" w:rsidRDefault="00E7079D">
      <w:pPr>
        <w:pStyle w:val="BodyA"/>
        <w:spacing w:after="200" w:line="276" w:lineRule="auto"/>
        <w:jc w:val="both"/>
        <w:rPr>
          <w:b/>
          <w:bCs/>
        </w:rPr>
      </w:pPr>
    </w:p>
    <w:p w14:paraId="30E41406" w14:textId="77777777" w:rsidR="00E7079D" w:rsidRDefault="436E9498">
      <w:pPr>
        <w:pStyle w:val="BodyA"/>
        <w:spacing w:after="200" w:line="276" w:lineRule="auto"/>
        <w:jc w:val="both"/>
        <w:rPr>
          <w:b/>
          <w:bCs/>
          <w:sz w:val="24"/>
          <w:szCs w:val="24"/>
        </w:rPr>
      </w:pPr>
      <w:r w:rsidRPr="436E9498">
        <w:rPr>
          <w:b/>
          <w:bCs/>
          <w:sz w:val="24"/>
          <w:szCs w:val="24"/>
        </w:rPr>
        <w:t>SHMI, monthly</w:t>
      </w:r>
    </w:p>
    <w:p w14:paraId="5B95CD12" w14:textId="46D6DA82" w:rsidR="00E7079D" w:rsidRDefault="3FA875B6" w:rsidP="436E9498">
      <w:pPr>
        <w:pStyle w:val="BodyA"/>
        <w:spacing w:after="200" w:line="276" w:lineRule="auto"/>
      </w:pPr>
      <w:r>
        <w:rPr>
          <w:noProof/>
        </w:rPr>
        <w:drawing>
          <wp:inline distT="0" distB="0" distL="0" distR="0" wp14:anchorId="3DE0F606" wp14:editId="2DB53535">
            <wp:extent cx="6724650" cy="2283579"/>
            <wp:effectExtent l="0" t="0" r="0" b="0"/>
            <wp:docPr id="1327855132" name="Picture 1327855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6724650" cy="2283579"/>
                    </a:xfrm>
                    <a:prstGeom prst="rect">
                      <a:avLst/>
                    </a:prstGeom>
                  </pic:spPr>
                </pic:pic>
              </a:graphicData>
            </a:graphic>
          </wp:inline>
        </w:drawing>
      </w:r>
    </w:p>
    <w:p w14:paraId="7BFC8257" w14:textId="5B849964" w:rsidR="436E9498" w:rsidRDefault="436E9498" w:rsidP="436E9498">
      <w:pPr>
        <w:pStyle w:val="BodyA"/>
      </w:pPr>
    </w:p>
    <w:p w14:paraId="23EF7921" w14:textId="6DE6922E" w:rsidR="436E9498" w:rsidRDefault="436E9498" w:rsidP="436E9498">
      <w:pPr>
        <w:pStyle w:val="Body"/>
        <w:rPr>
          <w:rFonts w:ascii="Arial" w:hAnsi="Arial"/>
          <w:b/>
          <w:bCs/>
          <w:color w:val="000000" w:themeColor="text1"/>
        </w:rPr>
      </w:pPr>
    </w:p>
    <w:p w14:paraId="11D120B9" w14:textId="1B4EB1E1" w:rsidR="40A92259" w:rsidRDefault="40A92259" w:rsidP="436E9498">
      <w:pPr>
        <w:pStyle w:val="Body"/>
        <w:rPr>
          <w:rFonts w:ascii="Arial" w:hAnsi="Arial"/>
          <w:color w:val="000000" w:themeColor="text1"/>
        </w:rPr>
      </w:pPr>
      <w:r w:rsidRPr="436E9498">
        <w:rPr>
          <w:rFonts w:ascii="Arial" w:hAnsi="Arial"/>
          <w:color w:val="000000" w:themeColor="text1"/>
        </w:rPr>
        <w:t xml:space="preserve">Line graph showing MKUH </w:t>
      </w:r>
      <w:r w:rsidR="619D1FD1" w:rsidRPr="436E9498">
        <w:rPr>
          <w:rFonts w:ascii="Arial" w:hAnsi="Arial"/>
          <w:color w:val="000000" w:themeColor="text1"/>
        </w:rPr>
        <w:t xml:space="preserve">SHMI </w:t>
      </w:r>
      <w:r w:rsidRPr="436E9498">
        <w:rPr>
          <w:rFonts w:ascii="Arial" w:hAnsi="Arial"/>
          <w:color w:val="000000" w:themeColor="text1"/>
        </w:rPr>
        <w:t xml:space="preserve">monthly </w:t>
      </w:r>
      <w:r w:rsidR="7AEE1F43" w:rsidRPr="436E9498">
        <w:rPr>
          <w:rFonts w:ascii="Arial" w:hAnsi="Arial"/>
          <w:color w:val="000000" w:themeColor="text1"/>
        </w:rPr>
        <w:t>(blue) in comparison to the National Peer.</w:t>
      </w:r>
    </w:p>
    <w:p w14:paraId="653B11E3" w14:textId="080A7FDC" w:rsidR="436E9498" w:rsidRDefault="436E9498" w:rsidP="436E9498">
      <w:pPr>
        <w:pStyle w:val="Body"/>
        <w:rPr>
          <w:rFonts w:ascii="Arial" w:hAnsi="Arial"/>
          <w:b/>
          <w:bCs/>
          <w:color w:val="000000" w:themeColor="text1"/>
        </w:rPr>
      </w:pPr>
    </w:p>
    <w:p w14:paraId="4D477C13" w14:textId="340BFB79" w:rsidR="436E9498" w:rsidRDefault="436E9498" w:rsidP="436E9498">
      <w:pPr>
        <w:pStyle w:val="Body"/>
        <w:rPr>
          <w:rFonts w:ascii="Arial" w:hAnsi="Arial"/>
          <w:b/>
          <w:bCs/>
          <w:color w:val="000000" w:themeColor="text1"/>
        </w:rPr>
      </w:pPr>
    </w:p>
    <w:p w14:paraId="2CF4E186" w14:textId="77777777" w:rsidR="00E7079D" w:rsidRDefault="00AB3E57">
      <w:pPr>
        <w:pStyle w:val="Body"/>
        <w:rPr>
          <w:rFonts w:ascii="Arial" w:eastAsia="Arial" w:hAnsi="Arial" w:cs="Arial"/>
          <w:b/>
          <w:bCs/>
        </w:rPr>
      </w:pPr>
      <w:r>
        <w:rPr>
          <w:rFonts w:ascii="Arial" w:hAnsi="Arial"/>
          <w:b/>
          <w:bCs/>
        </w:rPr>
        <w:t>SHMI, National peer comparison</w:t>
      </w:r>
    </w:p>
    <w:p w14:paraId="5220BBB2" w14:textId="77777777" w:rsidR="00E7079D" w:rsidRDefault="00E7079D">
      <w:pPr>
        <w:pStyle w:val="BodyA"/>
        <w:spacing w:after="200" w:line="276" w:lineRule="auto"/>
        <w:jc w:val="both"/>
      </w:pPr>
    </w:p>
    <w:p w14:paraId="13CB595B" w14:textId="31206697" w:rsidR="00E7079D" w:rsidRDefault="550DB51A" w:rsidP="436E9498">
      <w:pPr>
        <w:pStyle w:val="BodyA"/>
        <w:spacing w:after="200" w:line="276" w:lineRule="auto"/>
      </w:pPr>
      <w:r>
        <w:rPr>
          <w:noProof/>
        </w:rPr>
        <w:drawing>
          <wp:inline distT="0" distB="0" distL="0" distR="0" wp14:anchorId="43ACDD5B" wp14:editId="14D94630">
            <wp:extent cx="6867525" cy="2060258"/>
            <wp:effectExtent l="0" t="0" r="0" b="0"/>
            <wp:docPr id="687815472" name="Picture 687815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6867525" cy="2060258"/>
                    </a:xfrm>
                    <a:prstGeom prst="rect">
                      <a:avLst/>
                    </a:prstGeom>
                  </pic:spPr>
                </pic:pic>
              </a:graphicData>
            </a:graphic>
          </wp:inline>
        </w:drawing>
      </w:r>
    </w:p>
    <w:p w14:paraId="6D9C8D39" w14:textId="1579A198" w:rsidR="00E7079D" w:rsidRDefault="3D6EBA9A">
      <w:pPr>
        <w:pStyle w:val="BodyA"/>
        <w:spacing w:after="200" w:line="276" w:lineRule="auto"/>
        <w:jc w:val="both"/>
      </w:pPr>
      <w:r>
        <w:t>Bar chart showing MKUH SHMI position (blue) in relation to other NHS Trusts.</w:t>
      </w:r>
    </w:p>
    <w:p w14:paraId="675E05EE" w14:textId="77777777" w:rsidR="00E7079D" w:rsidRDefault="00E7079D">
      <w:pPr>
        <w:pStyle w:val="BodyA"/>
        <w:spacing w:after="200" w:line="276" w:lineRule="auto"/>
        <w:jc w:val="both"/>
        <w:rPr>
          <w:b/>
          <w:bCs/>
          <w:sz w:val="24"/>
          <w:szCs w:val="24"/>
        </w:rPr>
      </w:pPr>
    </w:p>
    <w:p w14:paraId="3DD355C9" w14:textId="3F553CC1" w:rsidR="00E7079D" w:rsidRDefault="00E7079D" w:rsidP="436E9498">
      <w:pPr>
        <w:pStyle w:val="Body"/>
        <w:spacing w:after="200" w:line="276" w:lineRule="auto"/>
        <w:jc w:val="both"/>
        <w:rPr>
          <w:b/>
          <w:bCs/>
        </w:rPr>
      </w:pPr>
    </w:p>
    <w:p w14:paraId="1A81F0B1" w14:textId="77777777" w:rsidR="00E7079D" w:rsidRDefault="00E7079D">
      <w:pPr>
        <w:pStyle w:val="Body"/>
        <w:rPr>
          <w:b/>
          <w:bCs/>
        </w:rPr>
      </w:pPr>
    </w:p>
    <w:p w14:paraId="19639967" w14:textId="322E8680" w:rsidR="00E7079D" w:rsidRDefault="436E9498" w:rsidP="436E9498">
      <w:pPr>
        <w:pStyle w:val="Body"/>
        <w:rPr>
          <w:rFonts w:ascii="Arial" w:eastAsia="Arial" w:hAnsi="Arial" w:cs="Arial"/>
          <w:b/>
          <w:bCs/>
          <w:color w:val="000000" w:themeColor="text1"/>
        </w:rPr>
      </w:pPr>
      <w:proofErr w:type="spellStart"/>
      <w:r>
        <w:rPr>
          <w:rFonts w:ascii="Arial" w:hAnsi="Arial"/>
          <w:b/>
          <w:bCs/>
          <w:lang w:val="da-DK"/>
        </w:rPr>
        <w:t>Appendix</w:t>
      </w:r>
      <w:proofErr w:type="spellEnd"/>
      <w:r>
        <w:rPr>
          <w:rFonts w:ascii="Arial" w:hAnsi="Arial"/>
          <w:b/>
          <w:bCs/>
          <w:lang w:val="da-DK"/>
        </w:rPr>
        <w:t xml:space="preserve"> </w:t>
      </w:r>
      <w:r w:rsidR="51328E8B">
        <w:rPr>
          <w:rFonts w:ascii="Arial" w:hAnsi="Arial"/>
          <w:b/>
          <w:bCs/>
          <w:lang w:val="da-DK"/>
        </w:rPr>
        <w:t>3</w:t>
      </w:r>
    </w:p>
    <w:p w14:paraId="5FBF02D4" w14:textId="1AE342CA" w:rsidR="00E7079D" w:rsidRDefault="00E7079D" w:rsidP="436E9498">
      <w:pPr>
        <w:pStyle w:val="Body"/>
        <w:rPr>
          <w:lang w:val="da-DK"/>
        </w:rPr>
      </w:pPr>
    </w:p>
    <w:p w14:paraId="31559CF7" w14:textId="12661229" w:rsidR="00E7079D" w:rsidRDefault="51328E8B">
      <w:pPr>
        <w:pStyle w:val="Body"/>
      </w:pPr>
      <w:r>
        <w:rPr>
          <w:noProof/>
        </w:rPr>
        <w:drawing>
          <wp:inline distT="0" distB="0" distL="0" distR="0" wp14:anchorId="120DE6E9" wp14:editId="58FC970E">
            <wp:extent cx="6715125" cy="2140446"/>
            <wp:effectExtent l="0" t="0" r="0" b="0"/>
            <wp:docPr id="1036588053" name="Picture 1036588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715125" cy="2140446"/>
                    </a:xfrm>
                    <a:prstGeom prst="rect">
                      <a:avLst/>
                    </a:prstGeom>
                  </pic:spPr>
                </pic:pic>
              </a:graphicData>
            </a:graphic>
          </wp:inline>
        </w:drawing>
      </w:r>
    </w:p>
    <w:p w14:paraId="0B04B7E4" w14:textId="5249C287" w:rsidR="00E7079D" w:rsidRDefault="00E7079D" w:rsidP="436E9498">
      <w:pPr>
        <w:pStyle w:val="Body"/>
      </w:pPr>
    </w:p>
    <w:p w14:paraId="7D0F3303" w14:textId="57FC901E" w:rsidR="00E7079D" w:rsidRDefault="51328E8B" w:rsidP="436E9498">
      <w:pPr>
        <w:pStyle w:val="Body"/>
        <w:rPr>
          <w:rFonts w:ascii="Arial" w:eastAsia="Arial" w:hAnsi="Arial" w:cs="Arial"/>
        </w:rPr>
      </w:pPr>
      <w:r w:rsidRPr="436E9498">
        <w:rPr>
          <w:rFonts w:ascii="Arial" w:eastAsia="Arial" w:hAnsi="Arial" w:cs="Arial"/>
        </w:rPr>
        <w:t xml:space="preserve">Bar chart showing MKUH uncoded primary diagnosis spells </w:t>
      </w:r>
      <w:r w:rsidR="69B64ABD" w:rsidRPr="436E9498">
        <w:rPr>
          <w:rFonts w:ascii="Arial" w:eastAsia="Arial" w:hAnsi="Arial" w:cs="Arial"/>
        </w:rPr>
        <w:t xml:space="preserve">(blue) </w:t>
      </w:r>
      <w:r w:rsidRPr="436E9498">
        <w:rPr>
          <w:rFonts w:ascii="Arial" w:eastAsia="Arial" w:hAnsi="Arial" w:cs="Arial"/>
        </w:rPr>
        <w:t xml:space="preserve">for the period </w:t>
      </w:r>
      <w:r w:rsidR="45DC8EB1" w:rsidRPr="436E9498">
        <w:rPr>
          <w:rFonts w:ascii="Arial" w:eastAsia="Arial" w:hAnsi="Arial" w:cs="Arial"/>
        </w:rPr>
        <w:t>June 2022-May 2023 in comparison to other Trusts. There are 17876</w:t>
      </w:r>
      <w:r w:rsidR="4C432515" w:rsidRPr="436E9498">
        <w:rPr>
          <w:rFonts w:ascii="Arial" w:eastAsia="Arial" w:hAnsi="Arial" w:cs="Arial"/>
        </w:rPr>
        <w:t xml:space="preserve"> spells </w:t>
      </w:r>
      <w:r w:rsidR="45153AA5" w:rsidRPr="436E9498">
        <w:rPr>
          <w:rFonts w:ascii="Arial" w:eastAsia="Arial" w:hAnsi="Arial" w:cs="Arial"/>
        </w:rPr>
        <w:t xml:space="preserve">(or 31.8% of </w:t>
      </w:r>
      <w:r w:rsidR="504C8EF7" w:rsidRPr="436E9498">
        <w:rPr>
          <w:rFonts w:ascii="Arial" w:eastAsia="Arial" w:hAnsi="Arial" w:cs="Arial"/>
        </w:rPr>
        <w:t xml:space="preserve">HES </w:t>
      </w:r>
      <w:r w:rsidR="45153AA5" w:rsidRPr="436E9498">
        <w:rPr>
          <w:rFonts w:ascii="Arial" w:eastAsia="Arial" w:hAnsi="Arial" w:cs="Arial"/>
        </w:rPr>
        <w:t xml:space="preserve">spells eligible for SHMI analysis) </w:t>
      </w:r>
      <w:r w:rsidR="4C432515" w:rsidRPr="436E9498">
        <w:rPr>
          <w:rFonts w:ascii="Arial" w:eastAsia="Arial" w:hAnsi="Arial" w:cs="Arial"/>
        </w:rPr>
        <w:t xml:space="preserve">without a </w:t>
      </w:r>
      <w:r w:rsidR="7CF39C9B" w:rsidRPr="436E9498">
        <w:rPr>
          <w:rFonts w:ascii="Arial" w:eastAsia="Arial" w:hAnsi="Arial" w:cs="Arial"/>
        </w:rPr>
        <w:t xml:space="preserve">valid </w:t>
      </w:r>
      <w:r w:rsidR="4C432515" w:rsidRPr="436E9498">
        <w:rPr>
          <w:rFonts w:ascii="Arial" w:eastAsia="Arial" w:hAnsi="Arial" w:cs="Arial"/>
        </w:rPr>
        <w:t>primary diagnosis</w:t>
      </w:r>
      <w:r w:rsidR="60AC1BD9" w:rsidRPr="436E9498">
        <w:rPr>
          <w:rFonts w:ascii="Arial" w:eastAsia="Arial" w:hAnsi="Arial" w:cs="Arial"/>
        </w:rPr>
        <w:t>. T</w:t>
      </w:r>
      <w:r w:rsidR="196A38C6" w:rsidRPr="436E9498">
        <w:rPr>
          <w:rFonts w:ascii="Arial" w:eastAsia="Arial" w:hAnsi="Arial" w:cs="Arial"/>
        </w:rPr>
        <w:t>he</w:t>
      </w:r>
      <w:r w:rsidR="4B7BD109" w:rsidRPr="436E9498">
        <w:rPr>
          <w:rFonts w:ascii="Arial" w:eastAsia="Arial" w:hAnsi="Arial" w:cs="Arial"/>
        </w:rPr>
        <w:t>s</w:t>
      </w:r>
      <w:r w:rsidR="196A38C6" w:rsidRPr="436E9498">
        <w:rPr>
          <w:rFonts w:ascii="Arial" w:eastAsia="Arial" w:hAnsi="Arial" w:cs="Arial"/>
        </w:rPr>
        <w:t>e</w:t>
      </w:r>
      <w:r w:rsidR="27EF7992" w:rsidRPr="436E9498">
        <w:rPr>
          <w:rFonts w:ascii="Arial" w:eastAsia="Arial" w:hAnsi="Arial" w:cs="Arial"/>
        </w:rPr>
        <w:t xml:space="preserve"> include 48 deaths</w:t>
      </w:r>
      <w:r w:rsidR="630C926F" w:rsidRPr="436E9498">
        <w:rPr>
          <w:rFonts w:ascii="Arial" w:eastAsia="Arial" w:hAnsi="Arial" w:cs="Arial"/>
        </w:rPr>
        <w:t xml:space="preserve">. </w:t>
      </w:r>
    </w:p>
    <w:p w14:paraId="55BFCEC7" w14:textId="4B0923D1" w:rsidR="00E7079D" w:rsidRDefault="630C926F" w:rsidP="436E9498">
      <w:pPr>
        <w:pStyle w:val="Body"/>
        <w:rPr>
          <w:rFonts w:ascii="Arial" w:eastAsia="Arial" w:hAnsi="Arial" w:cs="Arial"/>
        </w:rPr>
      </w:pPr>
      <w:r w:rsidRPr="436E9498">
        <w:rPr>
          <w:rFonts w:ascii="Arial" w:eastAsia="Arial" w:hAnsi="Arial" w:cs="Arial"/>
        </w:rPr>
        <w:t>The invalid spells</w:t>
      </w:r>
      <w:r w:rsidR="196A38C6" w:rsidRPr="436E9498">
        <w:rPr>
          <w:rFonts w:ascii="Arial" w:eastAsia="Arial" w:hAnsi="Arial" w:cs="Arial"/>
        </w:rPr>
        <w:t xml:space="preserve"> </w:t>
      </w:r>
      <w:r w:rsidR="447C3F82" w:rsidRPr="436E9498">
        <w:rPr>
          <w:rFonts w:ascii="Arial" w:eastAsia="Arial" w:hAnsi="Arial" w:cs="Arial"/>
        </w:rPr>
        <w:t xml:space="preserve">are placed in ‘Diagnostic Basket 140’ </w:t>
      </w:r>
      <w:r w:rsidR="7CA8CC83" w:rsidRPr="436E9498">
        <w:rPr>
          <w:rFonts w:ascii="Arial" w:eastAsia="Arial" w:hAnsi="Arial" w:cs="Arial"/>
        </w:rPr>
        <w:t>rendering them valueless for calculating indexed mortality. With such a large propor</w:t>
      </w:r>
      <w:r w:rsidR="4796AC5B" w:rsidRPr="436E9498">
        <w:rPr>
          <w:rFonts w:ascii="Arial" w:eastAsia="Arial" w:hAnsi="Arial" w:cs="Arial"/>
        </w:rPr>
        <w:t>tion of uncoded spells,</w:t>
      </w:r>
      <w:r w:rsidR="22D04BE8" w:rsidRPr="436E9498">
        <w:rPr>
          <w:rFonts w:ascii="Arial" w:eastAsia="Arial" w:hAnsi="Arial" w:cs="Arial"/>
        </w:rPr>
        <w:t xml:space="preserve"> the calculated SHMI value should be treated with caution.</w:t>
      </w:r>
      <w:r w:rsidR="3493B91C" w:rsidRPr="436E9498">
        <w:rPr>
          <w:rFonts w:ascii="Arial" w:eastAsia="Arial" w:hAnsi="Arial" w:cs="Arial"/>
        </w:rPr>
        <w:t xml:space="preserve"> This data has been validated by NHS England, which provides SHMI calculations but there is no reason to suspect that it does not apply equally to HSMR spells. </w:t>
      </w:r>
    </w:p>
    <w:p w14:paraId="49592635" w14:textId="5A1F67DD" w:rsidR="00E7079D" w:rsidRDefault="445C449C" w:rsidP="436E9498">
      <w:pPr>
        <w:pStyle w:val="Body"/>
        <w:rPr>
          <w:rFonts w:ascii="Arial" w:eastAsia="Arial" w:hAnsi="Arial" w:cs="Arial"/>
        </w:rPr>
      </w:pPr>
      <w:r w:rsidRPr="436E9498">
        <w:rPr>
          <w:rFonts w:ascii="Arial" w:eastAsia="Arial" w:hAnsi="Arial" w:cs="Arial"/>
        </w:rPr>
        <w:t xml:space="preserve">Improvement of coding of primary diagnosis </w:t>
      </w:r>
      <w:r w:rsidR="2A154D99" w:rsidRPr="436E9498">
        <w:rPr>
          <w:rFonts w:ascii="Arial" w:eastAsia="Arial" w:hAnsi="Arial" w:cs="Arial"/>
        </w:rPr>
        <w:t>will be critical in improving the accuracy and utility of MKUH’s indexed mortality data.</w:t>
      </w:r>
    </w:p>
    <w:sectPr w:rsidR="00E7079D">
      <w:headerReference w:type="default" r:id="rId13"/>
      <w:footerReference w:type="default" r:id="rId14"/>
      <w:pgSz w:w="11900" w:h="16840"/>
      <w:pgMar w:top="1134" w:right="620" w:bottom="1134" w:left="600" w:header="14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9EE66" w14:textId="77777777" w:rsidR="00AB3E57" w:rsidRDefault="00AB3E57">
      <w:r>
        <w:separator/>
      </w:r>
    </w:p>
  </w:endnote>
  <w:endnote w:type="continuationSeparator" w:id="0">
    <w:p w14:paraId="191A58F6" w14:textId="77777777" w:rsidR="00AB3E57" w:rsidRDefault="00AB3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41EEE" w14:textId="061C6A2C" w:rsidR="00E7079D" w:rsidRDefault="00AB3E57">
    <w:pPr>
      <w:pStyle w:val="Footer"/>
    </w:pPr>
    <w:r>
      <w:t xml:space="preserve">Page </w:t>
    </w:r>
    <w:r>
      <w:fldChar w:fldCharType="begin"/>
    </w:r>
    <w:r>
      <w:instrText xml:space="preserve"> PAGE </w:instrText>
    </w:r>
    <w:r>
      <w:fldChar w:fldCharType="separate"/>
    </w:r>
    <w:r w:rsidR="00EB364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97671" w14:textId="77777777" w:rsidR="00AB3E57" w:rsidRDefault="00AB3E57">
      <w:r>
        <w:separator/>
      </w:r>
    </w:p>
  </w:footnote>
  <w:footnote w:type="continuationSeparator" w:id="0">
    <w:p w14:paraId="5B8F3BE5" w14:textId="77777777" w:rsidR="00AB3E57" w:rsidRDefault="00AB3E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2DD96" w14:textId="77777777" w:rsidR="00E7079D" w:rsidRDefault="00E7079D">
    <w:pPr>
      <w:pStyle w:val="HeaderFooter"/>
    </w:pPr>
  </w:p>
</w:hdr>
</file>

<file path=word/intelligence2.xml><?xml version="1.0" encoding="utf-8"?>
<int2:intelligence xmlns:int2="http://schemas.microsoft.com/office/intelligence/2020/intelligence" xmlns:oel="http://schemas.microsoft.com/office/2019/extlst">
  <int2:observations>
    <int2:textHash int2:hashCode="mc5d1bDuW29qE+" int2:id="prBmHA8u">
      <int2:state int2:value="Rejected" int2:type="AugLoop_Text_Critique"/>
    </int2:textHash>
    <int2:textHash int2:hashCode="Tf+OKT3fqUgUpT" int2:id="Lm8UP6pa">
      <int2:state int2:value="Rejected" int2:type="AugLoop_Text_Critique"/>
    </int2:textHash>
    <int2:textHash int2:hashCode="gr/xQNGUrAnHOd" int2:id="eLqTTuCb">
      <int2:state int2:value="Rejected" int2:type="AugLoop_Text_Critique"/>
    </int2:textHash>
    <int2:textHash int2:hashCode="BGg7eABnbhOuGw" int2:id="PbF32eCU">
      <int2:state int2:value="Rejected" int2:type="AugLoop_Text_Critique"/>
    </int2:textHash>
    <int2:textHash int2:hashCode="T/CxU4RpM4oAc+" int2:id="P0sGhZP1">
      <int2:state int2:value="Rejected" int2:type="AugLoop_Text_Critique"/>
    </int2:textHash>
    <int2:textHash int2:hashCode="zF1Wq/0twWtg71" int2:id="XgAeoFuA">
      <int2:state int2:value="Rejected" int2:type="AugLoop_Text_Critique"/>
    </int2:textHash>
    <int2:textHash int2:hashCode="y9Qw0LfdRTAi7L" int2:id="nGFcd9oO">
      <int2:state int2:value="Rejected" int2:type="AugLoop_Text_Critique"/>
    </int2:textHash>
    <int2:textHash int2:hashCode="SokRWcj09pbk/j" int2:id="ECxJt6es">
      <int2:state int2:value="Rejected" int2:type="AugLoop_Text_Critique"/>
    </int2:textHash>
    <int2:textHash int2:hashCode="YYNfk2AVEaAYNX" int2:id="nuNrtNkg">
      <int2:state int2:value="Rejected" int2:type="AugLoop_Text_Critique"/>
    </int2:textHash>
    <int2:textHash int2:hashCode="ta4Wz9kEaHlvi9" int2:id="eqW4pk82">
      <int2:state int2:value="Rejected" int2:type="AugLoop_Text_Critique"/>
    </int2:textHash>
    <int2:textHash int2:hashCode="MyqvggTBPU/bkw" int2:id="ylRxDec7">
      <int2:state int2:value="Rejected" int2:type="AugLoop_Text_Critique"/>
    </int2:textHash>
    <int2:textHash int2:hashCode="vmpWPnZdDB2YSQ" int2:id="L890sRFP">
      <int2:state int2:value="Rejected" int2:type="AugLoop_Text_Critique"/>
    </int2:textHash>
    <int2:textHash int2:hashCode="ruAI7Jc1o9WYev" int2:id="kblelM6j">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F8F6"/>
    <w:multiLevelType w:val="hybridMultilevel"/>
    <w:tmpl w:val="FFFFFFFF"/>
    <w:styleLink w:val="ImportedStyle30"/>
    <w:lvl w:ilvl="0" w:tplc="CE5673D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3048C6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800AC9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1BC582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5527EB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1C6A09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CBE2B0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A8CB80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BA8118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3B7870E"/>
    <w:multiLevelType w:val="hybridMultilevel"/>
    <w:tmpl w:val="FFFFFFFF"/>
    <w:numStyleLink w:val="ImportedStyle4"/>
  </w:abstractNum>
  <w:abstractNum w:abstractNumId="2" w15:restartNumberingAfterBreak="0">
    <w:nsid w:val="097486DE"/>
    <w:multiLevelType w:val="hybridMultilevel"/>
    <w:tmpl w:val="FFFFFFFF"/>
    <w:numStyleLink w:val="ImportedStyle3"/>
  </w:abstractNum>
  <w:abstractNum w:abstractNumId="3" w15:restartNumberingAfterBreak="0">
    <w:nsid w:val="1C28A293"/>
    <w:multiLevelType w:val="hybridMultilevel"/>
    <w:tmpl w:val="FFFFFFFF"/>
    <w:numStyleLink w:val="ImportedStyle30"/>
  </w:abstractNum>
  <w:abstractNum w:abstractNumId="4" w15:restartNumberingAfterBreak="0">
    <w:nsid w:val="1F9FC8CC"/>
    <w:multiLevelType w:val="hybridMultilevel"/>
    <w:tmpl w:val="FFFFFFFF"/>
    <w:styleLink w:val="ImportedStyle3"/>
    <w:lvl w:ilvl="0" w:tplc="350EA05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654AB2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204325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C744C0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0E866F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9D2DF6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D489BE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952634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7AEBE6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8CB6404"/>
    <w:multiLevelType w:val="hybridMultilevel"/>
    <w:tmpl w:val="FFFFFFFF"/>
    <w:styleLink w:val="ImportedStyle2"/>
    <w:lvl w:ilvl="0" w:tplc="4BAA0BDC">
      <w:start w:val="1"/>
      <w:numFmt w:val="bullet"/>
      <w:lvlText w:val="·"/>
      <w:lvlJc w:val="left"/>
      <w:pPr>
        <w:ind w:left="6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5A12D0B6">
      <w:start w:val="1"/>
      <w:numFmt w:val="bullet"/>
      <w:lvlText w:val="o"/>
      <w:lvlJc w:val="left"/>
      <w:pPr>
        <w:ind w:left="14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53C07A50">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C316B552">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AE266CF2">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E90C1FEC">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EFE267EC">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1F8A3AAA">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1ACC6EE6">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6" w15:restartNumberingAfterBreak="0">
    <w:nsid w:val="5BF89678"/>
    <w:multiLevelType w:val="hybridMultilevel"/>
    <w:tmpl w:val="FFFFFFFF"/>
    <w:numStyleLink w:val="ImportedStyle1"/>
  </w:abstractNum>
  <w:abstractNum w:abstractNumId="7" w15:restartNumberingAfterBreak="0">
    <w:nsid w:val="68892769"/>
    <w:multiLevelType w:val="hybridMultilevel"/>
    <w:tmpl w:val="FFFFFFFF"/>
    <w:styleLink w:val="ImportedStyle1"/>
    <w:lvl w:ilvl="0" w:tplc="773EFAD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E6EA7A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FA2B83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37290A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ADA5B9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E926FD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33863A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B8E907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314DB9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69047AB0"/>
    <w:multiLevelType w:val="hybridMultilevel"/>
    <w:tmpl w:val="FFFFFFFF"/>
    <w:styleLink w:val="ImportedStyle4"/>
    <w:lvl w:ilvl="0" w:tplc="3AE00BE8">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328250A">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DA824B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F78EF5C">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5E4C9AA">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0E08F5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3EE88E6">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ED86EE2">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B98BDA8">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7DB6A879"/>
    <w:multiLevelType w:val="hybridMultilevel"/>
    <w:tmpl w:val="FFFFFFFF"/>
    <w:numStyleLink w:val="ImportedStyle2"/>
  </w:abstractNum>
  <w:num w:numId="1" w16cid:durableId="1320157564">
    <w:abstractNumId w:val="7"/>
  </w:num>
  <w:num w:numId="2" w16cid:durableId="2132355978">
    <w:abstractNumId w:val="6"/>
  </w:num>
  <w:num w:numId="3" w16cid:durableId="1566334165">
    <w:abstractNumId w:val="5"/>
  </w:num>
  <w:num w:numId="4" w16cid:durableId="1469009383">
    <w:abstractNumId w:val="9"/>
  </w:num>
  <w:num w:numId="5" w16cid:durableId="710346222">
    <w:abstractNumId w:val="4"/>
  </w:num>
  <w:num w:numId="6" w16cid:durableId="891502799">
    <w:abstractNumId w:val="2"/>
  </w:num>
  <w:num w:numId="7" w16cid:durableId="528881757">
    <w:abstractNumId w:val="8"/>
  </w:num>
  <w:num w:numId="8" w16cid:durableId="1604806180">
    <w:abstractNumId w:val="1"/>
  </w:num>
  <w:num w:numId="9" w16cid:durableId="823934603">
    <w:abstractNumId w:val="0"/>
  </w:num>
  <w:num w:numId="10" w16cid:durableId="14345955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isplayBackgroundShape/>
  <w:proofState w:spelling="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6AC"/>
    <w:rsid w:val="000876AC"/>
    <w:rsid w:val="002E64AF"/>
    <w:rsid w:val="0046A058"/>
    <w:rsid w:val="00AB3E57"/>
    <w:rsid w:val="00B13D14"/>
    <w:rsid w:val="00CF3231"/>
    <w:rsid w:val="00DB3713"/>
    <w:rsid w:val="00E7079D"/>
    <w:rsid w:val="00EB3640"/>
    <w:rsid w:val="014C99DD"/>
    <w:rsid w:val="016C2A1C"/>
    <w:rsid w:val="01DB65FD"/>
    <w:rsid w:val="02678C55"/>
    <w:rsid w:val="031E728B"/>
    <w:rsid w:val="04225FB9"/>
    <w:rsid w:val="04843A9F"/>
    <w:rsid w:val="048F9B71"/>
    <w:rsid w:val="04AD8B9F"/>
    <w:rsid w:val="052E28BD"/>
    <w:rsid w:val="0584730C"/>
    <w:rsid w:val="06C9F91E"/>
    <w:rsid w:val="06F1A300"/>
    <w:rsid w:val="07BBDB61"/>
    <w:rsid w:val="08B0B517"/>
    <w:rsid w:val="08B5A22C"/>
    <w:rsid w:val="08DD128B"/>
    <w:rsid w:val="08FE49B6"/>
    <w:rsid w:val="093B079C"/>
    <w:rsid w:val="09F484B4"/>
    <w:rsid w:val="0A6154FD"/>
    <w:rsid w:val="0AA3AA7B"/>
    <w:rsid w:val="0AB3C241"/>
    <w:rsid w:val="0AD6D7FD"/>
    <w:rsid w:val="0C4F92A2"/>
    <w:rsid w:val="0CA34526"/>
    <w:rsid w:val="0CADDED2"/>
    <w:rsid w:val="0D54F431"/>
    <w:rsid w:val="0D84263A"/>
    <w:rsid w:val="0D98F5BF"/>
    <w:rsid w:val="0DB1B8F7"/>
    <w:rsid w:val="0DCD167E"/>
    <w:rsid w:val="0E0E78BF"/>
    <w:rsid w:val="0EC2345B"/>
    <w:rsid w:val="0F873364"/>
    <w:rsid w:val="0FDB23AD"/>
    <w:rsid w:val="10F13897"/>
    <w:rsid w:val="10F9350C"/>
    <w:rsid w:val="11055E0C"/>
    <w:rsid w:val="11461981"/>
    <w:rsid w:val="11F9D51D"/>
    <w:rsid w:val="1225B3A3"/>
    <w:rsid w:val="12A087A1"/>
    <w:rsid w:val="12D9008C"/>
    <w:rsid w:val="12E1E9E2"/>
    <w:rsid w:val="13353B9E"/>
    <w:rsid w:val="137644F0"/>
    <w:rsid w:val="13941D39"/>
    <w:rsid w:val="13B6FDAB"/>
    <w:rsid w:val="141BBB26"/>
    <w:rsid w:val="14417C2A"/>
    <w:rsid w:val="15184D82"/>
    <w:rsid w:val="1552CE0C"/>
    <w:rsid w:val="15D493B5"/>
    <w:rsid w:val="15DCB2B5"/>
    <w:rsid w:val="16E80A6E"/>
    <w:rsid w:val="17505138"/>
    <w:rsid w:val="175C9989"/>
    <w:rsid w:val="17706416"/>
    <w:rsid w:val="1849B613"/>
    <w:rsid w:val="18678736"/>
    <w:rsid w:val="18F869EA"/>
    <w:rsid w:val="196A38C6"/>
    <w:rsid w:val="19CF6B59"/>
    <w:rsid w:val="1A3F582D"/>
    <w:rsid w:val="1B3A6ECF"/>
    <w:rsid w:val="1B894360"/>
    <w:rsid w:val="1C9B58B4"/>
    <w:rsid w:val="1CE472F0"/>
    <w:rsid w:val="1CF58DCA"/>
    <w:rsid w:val="1E0E1212"/>
    <w:rsid w:val="1E64105D"/>
    <w:rsid w:val="1EFF371F"/>
    <w:rsid w:val="1F03A56A"/>
    <w:rsid w:val="1FA133C6"/>
    <w:rsid w:val="201C13B2"/>
    <w:rsid w:val="203977B6"/>
    <w:rsid w:val="203EACDD"/>
    <w:rsid w:val="20EF2240"/>
    <w:rsid w:val="212D4F69"/>
    <w:rsid w:val="21BE72D9"/>
    <w:rsid w:val="222D986D"/>
    <w:rsid w:val="22D04BE8"/>
    <w:rsid w:val="23628248"/>
    <w:rsid w:val="23CBFFF2"/>
    <w:rsid w:val="23F4C222"/>
    <w:rsid w:val="2464F02B"/>
    <w:rsid w:val="25008041"/>
    <w:rsid w:val="259987FE"/>
    <w:rsid w:val="25B0C538"/>
    <w:rsid w:val="25B6532A"/>
    <w:rsid w:val="2609EB94"/>
    <w:rsid w:val="264F4E24"/>
    <w:rsid w:val="26810DFC"/>
    <w:rsid w:val="2682358F"/>
    <w:rsid w:val="26C98D8F"/>
    <w:rsid w:val="273B2391"/>
    <w:rsid w:val="27EF7992"/>
    <w:rsid w:val="2873C110"/>
    <w:rsid w:val="28A61965"/>
    <w:rsid w:val="2A154D99"/>
    <w:rsid w:val="2A5E3D16"/>
    <w:rsid w:val="2ABE28A2"/>
    <w:rsid w:val="2ADEA814"/>
    <w:rsid w:val="2B6FC1C5"/>
    <w:rsid w:val="2C6A0589"/>
    <w:rsid w:val="2C6AB715"/>
    <w:rsid w:val="2CE7A460"/>
    <w:rsid w:val="2CED1F89"/>
    <w:rsid w:val="2CFCBF12"/>
    <w:rsid w:val="2D0CC337"/>
    <w:rsid w:val="2D617246"/>
    <w:rsid w:val="2DA65EC3"/>
    <w:rsid w:val="2E480A52"/>
    <w:rsid w:val="2EA76287"/>
    <w:rsid w:val="2EE1129E"/>
    <w:rsid w:val="2F9199C5"/>
    <w:rsid w:val="2FAFEE28"/>
    <w:rsid w:val="314BBE89"/>
    <w:rsid w:val="317FAB14"/>
    <w:rsid w:val="319D19E8"/>
    <w:rsid w:val="31A35AA6"/>
    <w:rsid w:val="329A2A23"/>
    <w:rsid w:val="32C8A31E"/>
    <w:rsid w:val="332C048C"/>
    <w:rsid w:val="333E9C26"/>
    <w:rsid w:val="33D84830"/>
    <w:rsid w:val="33E8CAFD"/>
    <w:rsid w:val="340D5DB8"/>
    <w:rsid w:val="341850AE"/>
    <w:rsid w:val="3493B91C"/>
    <w:rsid w:val="34B86C0D"/>
    <w:rsid w:val="34DD2977"/>
    <w:rsid w:val="35BD6480"/>
    <w:rsid w:val="3620E406"/>
    <w:rsid w:val="365EDF00"/>
    <w:rsid w:val="370EF7AA"/>
    <w:rsid w:val="3732F95A"/>
    <w:rsid w:val="378A5A03"/>
    <w:rsid w:val="37BAA23D"/>
    <w:rsid w:val="37BB000D"/>
    <w:rsid w:val="380AA627"/>
    <w:rsid w:val="382F32A1"/>
    <w:rsid w:val="384706EC"/>
    <w:rsid w:val="3931C699"/>
    <w:rsid w:val="39A67688"/>
    <w:rsid w:val="39AF1B4F"/>
    <w:rsid w:val="39E623B7"/>
    <w:rsid w:val="39F1A0DF"/>
    <w:rsid w:val="3A3EDE94"/>
    <w:rsid w:val="3A90D5A3"/>
    <w:rsid w:val="3B31148F"/>
    <w:rsid w:val="3BE10F83"/>
    <w:rsid w:val="3C74B365"/>
    <w:rsid w:val="3C9889C5"/>
    <w:rsid w:val="3CFF9506"/>
    <w:rsid w:val="3D6EBA9A"/>
    <w:rsid w:val="3E29E3C1"/>
    <w:rsid w:val="3E8C62C8"/>
    <w:rsid w:val="3EAB1C36"/>
    <w:rsid w:val="3EB994DA"/>
    <w:rsid w:val="3EBDE939"/>
    <w:rsid w:val="3EF209F8"/>
    <w:rsid w:val="3F053AA8"/>
    <w:rsid w:val="3F281DFA"/>
    <w:rsid w:val="3F6DB4D5"/>
    <w:rsid w:val="3F9820E7"/>
    <w:rsid w:val="3FA875B6"/>
    <w:rsid w:val="4039EA69"/>
    <w:rsid w:val="4055653B"/>
    <w:rsid w:val="4058B5C2"/>
    <w:rsid w:val="40A92259"/>
    <w:rsid w:val="42112929"/>
    <w:rsid w:val="422E350C"/>
    <w:rsid w:val="423644B8"/>
    <w:rsid w:val="423EA7F8"/>
    <w:rsid w:val="426C0040"/>
    <w:rsid w:val="4282BF2B"/>
    <w:rsid w:val="436E9498"/>
    <w:rsid w:val="44411BC1"/>
    <w:rsid w:val="445C449C"/>
    <w:rsid w:val="447C3F82"/>
    <w:rsid w:val="45153AA5"/>
    <w:rsid w:val="454C7794"/>
    <w:rsid w:val="45DC8EB1"/>
    <w:rsid w:val="464E0A2D"/>
    <w:rsid w:val="4677C186"/>
    <w:rsid w:val="46B9DC51"/>
    <w:rsid w:val="47024005"/>
    <w:rsid w:val="472FC2F6"/>
    <w:rsid w:val="475A875D"/>
    <w:rsid w:val="475C0353"/>
    <w:rsid w:val="476ED543"/>
    <w:rsid w:val="4796AC5B"/>
    <w:rsid w:val="481391E7"/>
    <w:rsid w:val="483CDAF1"/>
    <w:rsid w:val="4840246E"/>
    <w:rsid w:val="487FC3E1"/>
    <w:rsid w:val="48806AAD"/>
    <w:rsid w:val="493F032D"/>
    <w:rsid w:val="496895B0"/>
    <w:rsid w:val="4974E1BE"/>
    <w:rsid w:val="49FA2A07"/>
    <w:rsid w:val="4A293A6B"/>
    <w:rsid w:val="4A8C0470"/>
    <w:rsid w:val="4AC00D02"/>
    <w:rsid w:val="4B1CFD5E"/>
    <w:rsid w:val="4B53CC1C"/>
    <w:rsid w:val="4B7BD109"/>
    <w:rsid w:val="4C432515"/>
    <w:rsid w:val="4D31CAC9"/>
    <w:rsid w:val="4D859329"/>
    <w:rsid w:val="4D9D9820"/>
    <w:rsid w:val="4DC3A532"/>
    <w:rsid w:val="4E6E579F"/>
    <w:rsid w:val="4EA6C1CC"/>
    <w:rsid w:val="4F567460"/>
    <w:rsid w:val="4F5973B1"/>
    <w:rsid w:val="4FF18D65"/>
    <w:rsid w:val="500F7087"/>
    <w:rsid w:val="5040CEBF"/>
    <w:rsid w:val="504C8EF7"/>
    <w:rsid w:val="50F54412"/>
    <w:rsid w:val="51328E8B"/>
    <w:rsid w:val="518D5DC6"/>
    <w:rsid w:val="51E1298B"/>
    <w:rsid w:val="52231179"/>
    <w:rsid w:val="52971655"/>
    <w:rsid w:val="530EE6E6"/>
    <w:rsid w:val="531A691A"/>
    <w:rsid w:val="538CB0BB"/>
    <w:rsid w:val="53BEE1DA"/>
    <w:rsid w:val="53F889A9"/>
    <w:rsid w:val="54C54367"/>
    <w:rsid w:val="54F9D430"/>
    <w:rsid w:val="550DB51A"/>
    <w:rsid w:val="5533DC97"/>
    <w:rsid w:val="555C506A"/>
    <w:rsid w:val="567A43C0"/>
    <w:rsid w:val="56D09301"/>
    <w:rsid w:val="56EE60EB"/>
    <w:rsid w:val="56FE763B"/>
    <w:rsid w:val="57F359E0"/>
    <w:rsid w:val="586E4456"/>
    <w:rsid w:val="58AB6C06"/>
    <w:rsid w:val="5A9E0C7D"/>
    <w:rsid w:val="5ADC3872"/>
    <w:rsid w:val="5B52232E"/>
    <w:rsid w:val="5C274866"/>
    <w:rsid w:val="5C5F32BF"/>
    <w:rsid w:val="5D1F75C4"/>
    <w:rsid w:val="5D6D7D2B"/>
    <w:rsid w:val="5D926E0F"/>
    <w:rsid w:val="5DAD226D"/>
    <w:rsid w:val="5DCA5AC5"/>
    <w:rsid w:val="5E276094"/>
    <w:rsid w:val="5E83C20E"/>
    <w:rsid w:val="5EC30FAE"/>
    <w:rsid w:val="5EC6A1A0"/>
    <w:rsid w:val="5EF49524"/>
    <w:rsid w:val="60AC1BD9"/>
    <w:rsid w:val="614EFE05"/>
    <w:rsid w:val="619D1FD1"/>
    <w:rsid w:val="62AB328D"/>
    <w:rsid w:val="62AC2672"/>
    <w:rsid w:val="630C926F"/>
    <w:rsid w:val="6375ECED"/>
    <w:rsid w:val="63891DED"/>
    <w:rsid w:val="63B9DA6D"/>
    <w:rsid w:val="63BF1D9D"/>
    <w:rsid w:val="651D1DF9"/>
    <w:rsid w:val="65271AC0"/>
    <w:rsid w:val="6635BCAA"/>
    <w:rsid w:val="6724C298"/>
    <w:rsid w:val="67391402"/>
    <w:rsid w:val="67442326"/>
    <w:rsid w:val="675CA677"/>
    <w:rsid w:val="678296E6"/>
    <w:rsid w:val="67E09200"/>
    <w:rsid w:val="686F00E2"/>
    <w:rsid w:val="68B2027C"/>
    <w:rsid w:val="696B3B72"/>
    <w:rsid w:val="69901DF3"/>
    <w:rsid w:val="69B64ABD"/>
    <w:rsid w:val="6A59C92A"/>
    <w:rsid w:val="6C3CD590"/>
    <w:rsid w:val="6C605218"/>
    <w:rsid w:val="6C643CE2"/>
    <w:rsid w:val="6CD2D717"/>
    <w:rsid w:val="6D0C046E"/>
    <w:rsid w:val="6D491EE5"/>
    <w:rsid w:val="6E3C1900"/>
    <w:rsid w:val="6E568280"/>
    <w:rsid w:val="6E7FB763"/>
    <w:rsid w:val="6E85B3EA"/>
    <w:rsid w:val="6F04E9DD"/>
    <w:rsid w:val="6F7A8250"/>
    <w:rsid w:val="6FAA14A7"/>
    <w:rsid w:val="6FF252E1"/>
    <w:rsid w:val="701D0E35"/>
    <w:rsid w:val="7041FF19"/>
    <w:rsid w:val="717D12A6"/>
    <w:rsid w:val="719A4C42"/>
    <w:rsid w:val="71D7958C"/>
    <w:rsid w:val="720BE244"/>
    <w:rsid w:val="72ADB4C7"/>
    <w:rsid w:val="73F4B523"/>
    <w:rsid w:val="74C5C404"/>
    <w:rsid w:val="750395BC"/>
    <w:rsid w:val="753362FE"/>
    <w:rsid w:val="753DE3D3"/>
    <w:rsid w:val="75FBB9A0"/>
    <w:rsid w:val="7638F5DA"/>
    <w:rsid w:val="7655678B"/>
    <w:rsid w:val="76659C20"/>
    <w:rsid w:val="76CC912C"/>
    <w:rsid w:val="76F6D365"/>
    <w:rsid w:val="777E2068"/>
    <w:rsid w:val="778125EA"/>
    <w:rsid w:val="77B9F9CE"/>
    <w:rsid w:val="78DC9124"/>
    <w:rsid w:val="78E77126"/>
    <w:rsid w:val="798C35CA"/>
    <w:rsid w:val="79993527"/>
    <w:rsid w:val="79B25D84"/>
    <w:rsid w:val="7A1670C1"/>
    <w:rsid w:val="7A9DAB07"/>
    <w:rsid w:val="7AEE1F43"/>
    <w:rsid w:val="7AF4618D"/>
    <w:rsid w:val="7B004D58"/>
    <w:rsid w:val="7B0ABA21"/>
    <w:rsid w:val="7B0CFE75"/>
    <w:rsid w:val="7B350588"/>
    <w:rsid w:val="7B471B42"/>
    <w:rsid w:val="7B6C2478"/>
    <w:rsid w:val="7BA47A37"/>
    <w:rsid w:val="7BB24122"/>
    <w:rsid w:val="7BE69EAB"/>
    <w:rsid w:val="7CA8CC83"/>
    <w:rsid w:val="7CE8F21B"/>
    <w:rsid w:val="7CF39C9B"/>
    <w:rsid w:val="7D4E1183"/>
    <w:rsid w:val="7DB2156C"/>
    <w:rsid w:val="7DB682F5"/>
    <w:rsid w:val="7DF2CE27"/>
    <w:rsid w:val="7E5FA6ED"/>
    <w:rsid w:val="7E6CA64A"/>
    <w:rsid w:val="7EE9E1E4"/>
    <w:rsid w:val="7F337653"/>
    <w:rsid w:val="7F897389"/>
    <w:rsid w:val="7FB156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545E8EE"/>
  <w15:docId w15:val="{1A72D108-85D1-4A24-AEA6-EA31CA6D5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513"/>
        <w:tab w:val="right" w:pos="9026"/>
      </w:tabs>
    </w:pPr>
    <w:rPr>
      <w:rFonts w:ascii="Arial" w:hAnsi="Arial" w:cs="Arial Unicode MS"/>
      <w:color w:val="000000"/>
      <w:sz w:val="22"/>
      <w:szCs w:val="22"/>
      <w:u w:color="000000"/>
      <w:lang w:val="en-US"/>
    </w:rPr>
  </w:style>
  <w:style w:type="paragraph" w:customStyle="1" w:styleId="BodyA">
    <w:name w:val="Body A"/>
    <w:rPr>
      <w:rFonts w:ascii="Arial" w:eastAsia="Arial" w:hAnsi="Arial" w:cs="Arial"/>
      <w:color w:val="000000"/>
      <w:sz w:val="22"/>
      <w:szCs w:val="22"/>
      <w:u w:color="000000"/>
      <w:lang w:val="en-US"/>
      <w14:textOutline w14:w="12700" w14:cap="flat" w14:cmpd="sng" w14:algn="ctr">
        <w14:noFill/>
        <w14:prstDash w14:val="solid"/>
        <w14:miter w14:lim="400000"/>
      </w14:textOutline>
    </w:rPr>
  </w:style>
  <w:style w:type="paragraph" w:customStyle="1" w:styleId="Default">
    <w:name w:val="Default"/>
    <w:rPr>
      <w:rFonts w:ascii="Calibri" w:hAnsi="Calibri" w:cs="Arial Unicode MS"/>
      <w:color w:val="000000"/>
      <w:sz w:val="24"/>
      <w:szCs w:val="24"/>
      <w:u w:color="000000"/>
      <w:lang w:val="en-US"/>
      <w14:textOutline w14:w="12700" w14:cap="flat" w14:cmpd="sng" w14:algn="ctr">
        <w14:noFill/>
        <w14:prstDash w14:val="solid"/>
        <w14:miter w14:lim="400000"/>
      </w14:textOutline>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paragraph" w:styleId="ListParagraph">
    <w:name w:val="List Paragraph"/>
    <w:pPr>
      <w:ind w:left="720"/>
    </w:pPr>
    <w:rPr>
      <w:rFonts w:ascii="Arial" w:hAnsi="Arial" w:cs="Arial Unicode MS"/>
      <w:color w:val="000000"/>
      <w:sz w:val="22"/>
      <w:szCs w:val="22"/>
      <w:u w:color="000000"/>
      <w:lang w:val="en-US"/>
    </w:rPr>
  </w:style>
  <w:style w:type="numbering" w:customStyle="1" w:styleId="ImportedStyle4">
    <w:name w:val="Imported Style 4"/>
    <w:pPr>
      <w:numPr>
        <w:numId w:val="7"/>
      </w:numPr>
    </w:pPr>
  </w:style>
  <w:style w:type="paragraph" w:customStyle="1" w:styleId="Body">
    <w:name w:val="Body"/>
    <w:rPr>
      <w:rFonts w:cs="Arial Unicode MS"/>
      <w:color w:val="000000"/>
      <w:sz w:val="24"/>
      <w:szCs w:val="24"/>
      <w:u w:color="000000"/>
      <w:lang w:val="en-US"/>
      <w14:textOutline w14:w="0" w14:cap="flat" w14:cmpd="sng" w14:algn="ctr">
        <w14:noFill/>
        <w14:prstDash w14:val="solid"/>
        <w14:bevel/>
      </w14:textOutline>
    </w:rPr>
  </w:style>
  <w:style w:type="numbering" w:customStyle="1" w:styleId="ImportedStyle30">
    <w:name w:val="Imported Style 3.0"/>
    <w:pPr>
      <w:numPr>
        <w:numId w:val="9"/>
      </w:numPr>
    </w:pPr>
  </w:style>
  <w:style w:type="paragraph" w:styleId="NormalWeb">
    <w:name w:val="Normal (Web)"/>
    <w:pPr>
      <w:spacing w:before="240" w:after="240"/>
    </w:pPr>
    <w:rPr>
      <w:rFonts w:cs="Arial Unicode MS"/>
      <w:color w:val="000000"/>
      <w:sz w:val="24"/>
      <w:szCs w:val="24"/>
      <w:u w:color="000000"/>
      <w:lang w:val="en-US"/>
    </w:rPr>
  </w:style>
  <w:style w:type="paragraph" w:customStyle="1" w:styleId="TableStyle2">
    <w:name w:val="Table Style 2"/>
    <w:rPr>
      <w:rFonts w:ascii="Helvetica Neue" w:eastAsia="Helvetica Neue" w:hAnsi="Helvetica Neue" w:cs="Helvetica Neue"/>
      <w:color w:val="000000"/>
      <w14:textOutline w14:w="0" w14:cap="flat" w14:cmpd="sng" w14:algn="ctr">
        <w14:noFill/>
        <w14:prstDash w14:val="solid"/>
        <w14:bevel/>
      </w14:textOutline>
    </w:rPr>
  </w:style>
  <w:style w:type="character" w:styleId="Strong">
    <w:name w:val="Strong"/>
    <w:rPr>
      <w:rFonts w:ascii="Times New Roman" w:eastAsia="Times New Roman" w:hAnsi="Times New Roman" w:cs="Times New Roman"/>
      <w:b/>
      <w:bC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microsoft.com/office/2020/10/relationships/intelligence" Target="intelligence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635CB64094342A68D7D9D7ADFCBAA" ma:contentTypeVersion="21" ma:contentTypeDescription="Create a new document." ma:contentTypeScope="" ma:versionID="2fd28f330cb74154111dec7507a117eb">
  <xsd:schema xmlns:xsd="http://www.w3.org/2001/XMLSchema" xmlns:xs="http://www.w3.org/2001/XMLSchema" xmlns:p="http://schemas.microsoft.com/office/2006/metadata/properties" xmlns:ns1="http://schemas.microsoft.com/sharepoint/v3" xmlns:ns2="763bbdc0-ec56-4fff-8ebb-064e188bdae0" xmlns:ns3="706c66fd-205d-4b90-a6ea-f55be544d6df" targetNamespace="http://schemas.microsoft.com/office/2006/metadata/properties" ma:root="true" ma:fieldsID="5853482240eb8474ea3eaf95ea5879af" ns1:_="" ns2:_="" ns3:_="">
    <xsd:import namespace="http://schemas.microsoft.com/sharepoint/v3"/>
    <xsd:import namespace="763bbdc0-ec56-4fff-8ebb-064e188bdae0"/>
    <xsd:import namespace="706c66fd-205d-4b90-a6ea-f55be544d6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SearchProperties"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3bbdc0-ec56-4fff-8ebb-064e188bda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1dc22af-d095-4f7b-8c71-c6a1685d407c"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6c66fd-205d-4b90-a6ea-f55be544d6d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c327595-a72f-4234-b6cf-919db22882f2}" ma:internalName="TaxCatchAll" ma:showField="CatchAllData" ma:web="706c66fd-205d-4b90-a6ea-f55be544d6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710ADC-B697-464E-998A-F85ED2551336}"/>
</file>

<file path=customXml/itemProps2.xml><?xml version="1.0" encoding="utf-8"?>
<ds:datastoreItem xmlns:ds="http://schemas.openxmlformats.org/officeDocument/2006/customXml" ds:itemID="{C46C35C2-4158-42EE-9457-C0BDCEA44844}"/>
</file>

<file path=docProps/app.xml><?xml version="1.0" encoding="utf-8"?>
<Properties xmlns="http://schemas.openxmlformats.org/officeDocument/2006/extended-properties" xmlns:vt="http://schemas.openxmlformats.org/officeDocument/2006/docPropsVTypes">
  <Template>Normal</Template>
  <TotalTime>2</TotalTime>
  <Pages>10</Pages>
  <Words>2845</Words>
  <Characters>16217</Characters>
  <Application>Microsoft Office Word</Application>
  <DocSecurity>0</DocSecurity>
  <Lines>135</Lines>
  <Paragraphs>38</Paragraphs>
  <ScaleCrop>false</ScaleCrop>
  <Company/>
  <LinksUpToDate>false</LinksUpToDate>
  <CharactersWithSpaces>19024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Ian Reckless</cp:lastModifiedBy>
  <cp:revision>2</cp:revision>
  <dcterms:created xsi:type="dcterms:W3CDTF">2023-10-28T23:21:00Z</dcterms:created>
  <dcterms:modified xsi:type="dcterms:W3CDTF">2023-10-28T23:21:00Z</dcterms:modified>
</cp:coreProperties>
</file>